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customXml/itemProps6.xml" ContentType="application/vnd.openxmlformats-officedocument.customXml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comments.xml" ContentType="application/vnd.openxmlformats-officedocument.wordprocessingml.comments+xml"/>
  <Override PartName="/customXml/itemProps1.xml" ContentType="application/vnd.openxmlformats-officedocument.customXmlProperties+xml"/>
  <Override PartName="/word/footer2.xml" ContentType="application/vnd.openxmlformats-officedocument.wordprocessingml.footer+xml"/>
  <Override PartName="/customXml/itemProps3.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Tw Cen MT" w:cs="Twentieth Century" w:eastAsia="Twentieth Century" w:hAnsi="Tw Cen MT"/>
          <w:b/>
          <w:sz w:val="32"/>
          <w:szCs w:val="32"/>
        </w:rPr>
      </w:pPr>
      <w:r>
        <w:rPr>
          <w:rFonts w:ascii="Tw Cen MT" w:cs="Twentieth Century" w:eastAsia="Twentieth Century" w:hAnsi="Tw Cen MT"/>
          <w:b/>
          <w:sz w:val="32"/>
          <w:szCs w:val="32"/>
        </w:rPr>
        <w:t xml:space="preserve">Family Coping Mechanisms in Response to Stunting Events in Toddlers in the Working Area of </w:t>
      </w:r>
      <w:r>
        <w:rPr>
          <w:rFonts w:ascii="Tw Cen MT" w:cs="Twentieth Century" w:eastAsia="Twentieth Century" w:hAnsi="Tw Cen MT"/>
          <w:b/>
          <w:sz w:val="32"/>
          <w:szCs w:val="32"/>
        </w:rPr>
        <w:t>Pekanheran</w:t>
      </w:r>
      <w:r>
        <w:rPr>
          <w:rFonts w:ascii="Tw Cen MT" w:cs="Twentieth Century" w:eastAsia="Twentieth Century" w:hAnsi="Tw Cen MT"/>
          <w:b/>
          <w:sz w:val="32"/>
          <w:szCs w:val="32"/>
        </w:rPr>
        <w:t xml:space="preserve"> Health Center</w:t>
      </w:r>
    </w:p>
    <w:p>
      <w:pPr>
        <w:pStyle w:val="style0"/>
        <w:spacing w:after="0" w:lineRule="auto" w:line="240"/>
        <w:jc w:val="center"/>
        <w:rPr>
          <w:rFonts w:ascii="Tw Cen MT" w:cs="Twentieth Century" w:eastAsia="Twentieth Century" w:hAnsi="Tw Cen MT"/>
          <w:b/>
          <w:sz w:val="32"/>
          <w:szCs w:val="32"/>
        </w:rPr>
      </w:pPr>
    </w:p>
    <w:bookmarkStart w:id="0" w:name="_heading=h.ku3htxpixa9v" w:colFirst="0" w:colLast="0"/>
    <w:bookmarkEnd w:id="0"/>
    <w:p>
      <w:pPr>
        <w:pStyle w:val="style0"/>
        <w:spacing w:after="0" w:lineRule="auto" w:line="240"/>
        <w:jc w:val="center"/>
        <w:rPr>
          <w:rFonts w:ascii="Tw Cen MT" w:cs="Times New Roman" w:hAnsi="Tw Cen MT"/>
          <w:b/>
          <w:bCs/>
          <w:iCs/>
          <w:sz w:val="32"/>
          <w:szCs w:val="32"/>
        </w:rPr>
      </w:pPr>
      <w:r>
        <w:rPr>
          <w:rFonts w:ascii="Tw Cen MT" w:cs="Twentieth Century" w:eastAsia="Twentieth Century" w:hAnsi="Tw Cen MT"/>
          <w:b/>
          <w:sz w:val="32"/>
          <w:szCs w:val="32"/>
        </w:rPr>
        <w:t>Mekanisme</w:t>
      </w:r>
      <w:r>
        <w:rPr>
          <w:rFonts w:ascii="Tw Cen MT" w:cs="Twentieth Century" w:eastAsia="Twentieth Century" w:hAnsi="Tw Cen MT"/>
          <w:b/>
          <w:sz w:val="32"/>
          <w:szCs w:val="32"/>
        </w:rPr>
        <w:t xml:space="preserve"> </w:t>
      </w:r>
      <w:r>
        <w:rPr>
          <w:rFonts w:ascii="Tw Cen MT" w:cs="Twentieth Century" w:eastAsia="Twentieth Century" w:hAnsi="Tw Cen MT"/>
          <w:b/>
          <w:sz w:val="32"/>
          <w:szCs w:val="32"/>
        </w:rPr>
        <w:t>Koping</w:t>
      </w:r>
      <w:r>
        <w:rPr>
          <w:rFonts w:ascii="Tw Cen MT" w:cs="Twentieth Century" w:eastAsia="Twentieth Century" w:hAnsi="Tw Cen MT"/>
          <w:b/>
          <w:sz w:val="32"/>
          <w:szCs w:val="32"/>
        </w:rPr>
        <w:t xml:space="preserve"> </w:t>
      </w:r>
      <w:r>
        <w:rPr>
          <w:rFonts w:ascii="Tw Cen MT" w:cs="Twentieth Century" w:eastAsia="Twentieth Century" w:hAnsi="Tw Cen MT"/>
          <w:b/>
          <w:sz w:val="32"/>
          <w:szCs w:val="32"/>
        </w:rPr>
        <w:t>Keluarga</w:t>
      </w:r>
      <w:r>
        <w:rPr>
          <w:rFonts w:ascii="Tw Cen MT" w:cs="Twentieth Century" w:eastAsia="Twentieth Century" w:hAnsi="Tw Cen MT"/>
          <w:b/>
          <w:sz w:val="32"/>
          <w:szCs w:val="32"/>
        </w:rPr>
        <w:t xml:space="preserve"> </w:t>
      </w:r>
      <w:r>
        <w:rPr>
          <w:rFonts w:ascii="Tw Cen MT" w:cs="Twentieth Century" w:eastAsia="Twentieth Century" w:hAnsi="Tw Cen MT"/>
          <w:b/>
          <w:sz w:val="32"/>
          <w:szCs w:val="32"/>
        </w:rPr>
        <w:t>dengan</w:t>
      </w:r>
      <w:r>
        <w:rPr>
          <w:rFonts w:ascii="Tw Cen MT" w:cs="Twentieth Century" w:eastAsia="Twentieth Century" w:hAnsi="Tw Cen MT"/>
          <w:b/>
          <w:sz w:val="32"/>
          <w:szCs w:val="32"/>
        </w:rPr>
        <w:t xml:space="preserve"> </w:t>
      </w:r>
      <w:r>
        <w:rPr>
          <w:rFonts w:ascii="Tw Cen MT" w:cs="Twentieth Century" w:eastAsia="Twentieth Century" w:hAnsi="Tw Cen MT"/>
          <w:b/>
          <w:sz w:val="32"/>
          <w:szCs w:val="32"/>
        </w:rPr>
        <w:t>Kejadian</w:t>
      </w:r>
      <w:r>
        <w:rPr>
          <w:rFonts w:ascii="Tw Cen MT" w:cs="Twentieth Century" w:eastAsia="Twentieth Century" w:hAnsi="Tw Cen MT"/>
          <w:b/>
          <w:sz w:val="32"/>
          <w:szCs w:val="32"/>
        </w:rPr>
        <w:t xml:space="preserve"> </w:t>
      </w:r>
      <w:r>
        <w:rPr>
          <w:rFonts w:ascii="Tw Cen MT" w:cs="Twentieth Century" w:eastAsia="Twentieth Century" w:hAnsi="Tw Cen MT"/>
          <w:b/>
          <w:i/>
          <w:iCs/>
          <w:sz w:val="32"/>
          <w:szCs w:val="32"/>
        </w:rPr>
        <w:t xml:space="preserve">Stunting </w:t>
      </w:r>
      <w:r>
        <w:rPr>
          <w:rFonts w:ascii="Tw Cen MT" w:cs="Twentieth Century" w:eastAsia="Twentieth Century" w:hAnsi="Tw Cen MT"/>
          <w:b/>
          <w:sz w:val="32"/>
          <w:szCs w:val="32"/>
        </w:rPr>
        <w:t xml:space="preserve"> pada</w:t>
      </w:r>
      <w:r>
        <w:rPr>
          <w:rFonts w:ascii="Tw Cen MT" w:cs="Twentieth Century" w:eastAsia="Twentieth Century" w:hAnsi="Tw Cen MT"/>
          <w:b/>
          <w:sz w:val="32"/>
          <w:szCs w:val="32"/>
        </w:rPr>
        <w:t xml:space="preserve"> Balita Di Wilayah </w:t>
      </w:r>
      <w:r>
        <w:rPr>
          <w:rFonts w:ascii="Tw Cen MT" w:cs="Twentieth Century" w:eastAsia="Twentieth Century" w:hAnsi="Tw Cen MT"/>
          <w:b/>
          <w:sz w:val="32"/>
          <w:szCs w:val="32"/>
        </w:rPr>
        <w:t>Kerja</w:t>
      </w:r>
      <w:r>
        <w:rPr>
          <w:rFonts w:ascii="Tw Cen MT" w:cs="Twentieth Century" w:eastAsia="Twentieth Century" w:hAnsi="Tw Cen MT"/>
          <w:b/>
          <w:sz w:val="32"/>
          <w:szCs w:val="32"/>
        </w:rPr>
        <w:t xml:space="preserve"> </w:t>
      </w:r>
      <w:r>
        <w:rPr>
          <w:rFonts w:ascii="Tw Cen MT" w:cs="Twentieth Century" w:eastAsia="Twentieth Century" w:hAnsi="Tw Cen MT"/>
          <w:b/>
          <w:sz w:val="32"/>
          <w:szCs w:val="32"/>
        </w:rPr>
        <w:t>Puskesmas</w:t>
      </w:r>
      <w:r>
        <w:rPr>
          <w:rFonts w:ascii="Tw Cen MT" w:cs="Twentieth Century" w:eastAsia="Twentieth Century" w:hAnsi="Tw Cen MT"/>
          <w:b/>
          <w:sz w:val="32"/>
          <w:szCs w:val="32"/>
        </w:rPr>
        <w:t xml:space="preserve"> </w:t>
      </w:r>
      <w:r>
        <w:rPr>
          <w:rFonts w:ascii="Tw Cen MT" w:cs="Twentieth Century" w:eastAsia="Twentieth Century" w:hAnsi="Tw Cen MT"/>
          <w:b/>
          <w:sz w:val="32"/>
          <w:szCs w:val="32"/>
        </w:rPr>
        <w:t>Pekanheran</w:t>
      </w:r>
    </w:p>
    <w:p>
      <w:pPr>
        <w:pStyle w:val="style0"/>
        <w:spacing w:after="0" w:lineRule="auto" w:line="240"/>
        <w:jc w:val="center"/>
        <w:rPr>
          <w:rFonts w:ascii="Tw Cen MT" w:cs="Times New Roman" w:hAnsi="Tw Cen MT"/>
          <w:b/>
          <w:bCs/>
          <w:iCs/>
          <w:sz w:val="32"/>
          <w:szCs w:val="32"/>
        </w:rPr>
      </w:pPr>
    </w:p>
    <w:p>
      <w:pPr>
        <w:pStyle w:val="style0"/>
        <w:widowControl w:val="false"/>
        <w:spacing w:after="0" w:lineRule="auto" w:line="218"/>
        <w:ind w:left="7" w:right="-20"/>
        <w:jc w:val="center"/>
        <w:rPr>
          <w:rFonts w:ascii="Tw Cen MT" w:cs="Twentieth Century" w:eastAsia="Twentieth Century" w:hAnsi="Tw Cen MT"/>
          <w:sz w:val="24"/>
          <w:szCs w:val="24"/>
        </w:rPr>
      </w:pPr>
      <w:r>
        <w:rPr>
          <w:rFonts w:ascii="Tw Cen MT" w:cs="Twentieth Century" w:eastAsia="Twentieth Century" w:hAnsi="Tw Cen MT"/>
          <w:sz w:val="24"/>
          <w:szCs w:val="24"/>
        </w:rPr>
        <w:t>A</w:t>
      </w:r>
      <w:r>
        <w:rPr>
          <w:rFonts w:ascii="Tw Cen MT" w:cs="Twentieth Century" w:eastAsia="Twentieth Century" w:hAnsi="Tw Cen MT"/>
          <w:sz w:val="24"/>
          <w:szCs w:val="24"/>
        </w:rPr>
        <w:t>lice Rosy</w:t>
      </w:r>
      <w:r>
        <w:rPr>
          <w:rFonts w:ascii="Tw Cen MT" w:cs="Twentieth Century" w:eastAsia="Twentieth Century" w:hAnsi="Tw Cen MT"/>
          <w:sz w:val="24"/>
          <w:szCs w:val="24"/>
          <w:vertAlign w:val="superscript"/>
        </w:rPr>
        <w:t xml:space="preserve">1, </w:t>
      </w:r>
      <w:r>
        <w:rPr>
          <w:rFonts w:ascii="Tw Cen MT" w:cs="Twentieth Century" w:eastAsia="Twentieth Century" w:hAnsi="Tw Cen MT"/>
          <w:sz w:val="24"/>
          <w:szCs w:val="24"/>
        </w:rPr>
        <w:t>Elmukhsinur</w:t>
      </w:r>
      <w:r>
        <w:rPr>
          <w:rFonts w:ascii="Tw Cen MT" w:cs="Twentieth Century" w:eastAsia="Twentieth Century" w:hAnsi="Tw Cen MT"/>
          <w:sz w:val="24"/>
          <w:szCs w:val="24"/>
          <w:vertAlign w:val="superscript"/>
        </w:rPr>
        <w:t>2</w:t>
      </w:r>
      <w:r>
        <w:rPr>
          <w:rFonts w:ascii="Tw Cen MT" w:cs="Twentieth Century" w:eastAsia="Twentieth Century" w:hAnsi="Tw Cen MT"/>
          <w:sz w:val="24"/>
          <w:szCs w:val="24"/>
          <w:vertAlign w:val="superscript"/>
        </w:rPr>
        <w:t xml:space="preserve">, </w:t>
      </w:r>
      <w:r>
        <w:rPr>
          <w:rFonts w:ascii="Tw Cen MT" w:cs="Twentieth Century" w:eastAsia="Twentieth Century" w:hAnsi="Tw Cen MT"/>
          <w:sz w:val="24"/>
          <w:szCs w:val="24"/>
        </w:rPr>
        <w:t>Rusherina</w:t>
      </w:r>
      <w:r>
        <w:rPr>
          <w:rFonts w:ascii="Tw Cen MT" w:cs="Twentieth Century" w:eastAsia="Twentieth Century" w:hAnsi="Tw Cen MT"/>
          <w:sz w:val="24"/>
          <w:szCs w:val="24"/>
          <w:vertAlign w:val="superscript"/>
        </w:rPr>
        <w:t>3</w:t>
      </w:r>
      <w:r>
        <w:rPr>
          <w:rFonts w:ascii="Tw Cen MT" w:cs="Twentieth Century" w:eastAsia="Twentieth Century" w:hAnsi="Tw Cen MT"/>
          <w:sz w:val="24"/>
          <w:szCs w:val="24"/>
          <w:vertAlign w:val="superscript"/>
        </w:rPr>
        <w:t xml:space="preserve"> </w:t>
      </w:r>
    </w:p>
    <w:p>
      <w:pPr>
        <w:pStyle w:val="style0"/>
        <w:widowControl w:val="false"/>
        <w:spacing w:after="0" w:lineRule="auto" w:line="218"/>
        <w:ind w:left="7" w:right="-20"/>
        <w:jc w:val="center"/>
        <w:rPr>
          <w:rFonts w:ascii="Tw Cen MT" w:cs="Twentieth Century" w:eastAsia="Twentieth Century" w:hAnsi="Tw Cen MT"/>
          <w:sz w:val="20"/>
          <w:szCs w:val="20"/>
          <w:vertAlign w:val="superscript"/>
        </w:rPr>
      </w:pPr>
      <w:r>
        <w:rPr>
          <w:rFonts w:ascii="Tw Cen MT" w:cs="Twentieth Century" w:eastAsia="Twentieth Century" w:hAnsi="Tw Cen MT"/>
          <w:sz w:val="20"/>
          <w:szCs w:val="20"/>
        </w:rPr>
        <w:t>Poltekkes</w:t>
      </w:r>
      <w:r>
        <w:rPr>
          <w:rFonts w:ascii="Tw Cen MT" w:cs="Twentieth Century" w:eastAsia="Twentieth Century" w:hAnsi="Tw Cen MT"/>
          <w:sz w:val="20"/>
          <w:szCs w:val="20"/>
        </w:rPr>
        <w:t xml:space="preserve"> </w:t>
      </w:r>
      <w:r>
        <w:rPr>
          <w:rFonts w:ascii="Tw Cen MT" w:cs="Twentieth Century" w:eastAsia="Twentieth Century" w:hAnsi="Tw Cen MT"/>
          <w:sz w:val="20"/>
          <w:szCs w:val="20"/>
        </w:rPr>
        <w:t>Kemenkes</w:t>
      </w:r>
      <w:r>
        <w:rPr>
          <w:rFonts w:ascii="Tw Cen MT" w:cs="Twentieth Century" w:eastAsia="Twentieth Century" w:hAnsi="Tw Cen MT"/>
          <w:sz w:val="20"/>
          <w:szCs w:val="20"/>
        </w:rPr>
        <w:t xml:space="preserve"> Riau,</w:t>
      </w:r>
      <w:r>
        <w:rPr>
          <w:rFonts w:ascii="Tw Cen MT" w:cs="Twentieth Century" w:eastAsia="Twentieth Century" w:hAnsi="Tw Cen MT"/>
          <w:sz w:val="20"/>
          <w:szCs w:val="20"/>
        </w:rPr>
        <w:t xml:space="preserve"> </w:t>
      </w:r>
      <w:r>
        <w:rPr>
          <w:rFonts w:ascii="Tw Cen MT" w:cs="Twentieth Century" w:eastAsia="Twentieth Century" w:hAnsi="Tw Cen MT"/>
          <w:sz w:val="20"/>
          <w:szCs w:val="20"/>
        </w:rPr>
        <w:t>Pekanbaru</w:t>
      </w:r>
      <w:r>
        <w:rPr>
          <w:rFonts w:ascii="Tw Cen MT" w:cs="Twentieth Century" w:eastAsia="Twentieth Century" w:hAnsi="Tw Cen MT"/>
          <w:sz w:val="20"/>
          <w:szCs w:val="20"/>
        </w:rPr>
        <w:t xml:space="preserve">, </w:t>
      </w:r>
      <w:r>
        <w:rPr>
          <w:rFonts w:ascii="Tw Cen MT" w:cs="Twentieth Century" w:eastAsia="Twentieth Century" w:hAnsi="Tw Cen MT"/>
          <w:sz w:val="20"/>
          <w:szCs w:val="20"/>
        </w:rPr>
        <w:t>Indonesia</w:t>
      </w:r>
    </w:p>
    <w:p>
      <w:pPr>
        <w:pStyle w:val="style0"/>
        <w:widowControl w:val="false"/>
        <w:spacing w:after="0" w:lineRule="auto" w:line="218"/>
        <w:ind w:right="-20"/>
        <w:jc w:val="center"/>
        <w:rPr>
          <w:rFonts w:ascii="Tw Cen MT" w:cs="Twentieth Century" w:eastAsia="Twentieth Century" w:hAnsi="Tw Cen MT"/>
          <w:sz w:val="20"/>
          <w:szCs w:val="20"/>
        </w:rPr>
      </w:pPr>
      <w:r>
        <w:rPr>
          <w:rFonts w:ascii="Tw Cen MT" w:cs="Twentieth Century" w:eastAsia="Twentieth Century" w:hAnsi="Tw Cen MT"/>
          <w:sz w:val="20"/>
          <w:szCs w:val="20"/>
        </w:rPr>
        <w:t>alicerosyamk@gmail.com</w:t>
      </w:r>
    </w:p>
    <w:p>
      <w:pPr>
        <w:pStyle w:val="style0"/>
        <w:spacing w:after="0"/>
        <w:rPr>
          <w:rFonts w:ascii="Tw Cen MT" w:cs="Twentieth Century" w:eastAsia="Twentieth Century" w:hAnsi="Tw Cen MT"/>
        </w:rPr>
      </w:pPr>
      <w:r>
        <w:rPr>
          <w:rFonts w:ascii="Tw Cen MT" w:hAnsi="Tw Cen MT"/>
          <w:b/>
          <w:i/>
          <w:iCs/>
          <w:noProof/>
          <w:sz w:val="24"/>
          <w:szCs w:val="24"/>
        </w:rPr>
        <mc:AlternateContent>
          <mc:Choice Requires="wps">
            <w:drawing>
              <wp:anchor distT="0" distB="0" distL="0" distR="0" simplePos="false" relativeHeight="3" behindDoc="false" locked="false" layoutInCell="true" allowOverlap="true">
                <wp:simplePos x="0" y="0"/>
                <wp:positionH relativeFrom="column">
                  <wp:posOffset>17780</wp:posOffset>
                </wp:positionH>
                <wp:positionV relativeFrom="paragraph">
                  <wp:posOffset>152400</wp:posOffset>
                </wp:positionV>
                <wp:extent cx="1943100" cy="1176655"/>
                <wp:effectExtent l="0" t="0" r="0" b="4445"/>
                <wp:wrapNone/>
                <wp:docPr id="1026" name="Rectangl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43100" cy="1176655"/>
                        </a:xfrm>
                        <a:prstGeom prst="rect"/>
                        <a:solidFill>
                          <a:srgbClr val="ffffff"/>
                        </a:solidFill>
                        <a:ln>
                          <a:noFill/>
                        </a:ln>
                      </wps:spPr>
                      <wps:txbx id="1026">
                        <w:txbxContent>
                          <w:p>
                            <w:pPr>
                              <w:pStyle w:val="style0"/>
                              <w:tabs>
                                <w:tab w:val="left" w:leader="none" w:pos="567"/>
                              </w:tabs>
                              <w:spacing w:after="0"/>
                              <w:ind w:left="-85"/>
                              <w:rPr>
                                <w:rFonts w:ascii="Tw Cen MT" w:cs="Arial" w:hAnsi="Tw Cen MT"/>
                                <w:b/>
                                <w:bCs/>
                                <w:caps/>
                                <w:sz w:val="20"/>
                                <w:szCs w:val="20"/>
                                <w:lang w:val="id-ID"/>
                              </w:rPr>
                            </w:pPr>
                            <w:r>
                              <w:rPr>
                                <w:rFonts w:ascii="Tw Cen MT" w:cs="Arial" w:hAnsi="Tw Cen MT"/>
                                <w:b/>
                                <w:bCs/>
                                <w:sz w:val="20"/>
                                <w:szCs w:val="20"/>
                              </w:rPr>
                              <w:t>Article Info</w:t>
                            </w:r>
                            <w:r>
                              <w:rPr>
                                <w:rFonts w:ascii="Tw Cen MT" w:cs="Arial" w:hAnsi="Tw Cen MT"/>
                                <w:b/>
                                <w:bCs/>
                                <w:sz w:val="20"/>
                                <w:szCs w:val="20"/>
                                <w:lang w:val="id-ID"/>
                              </w:rPr>
                              <w:t xml:space="preserve"> </w:t>
                            </w:r>
                          </w:p>
                          <w:p>
                            <w:pPr>
                              <w:pStyle w:val="style0"/>
                              <w:tabs>
                                <w:tab w:val="left" w:leader="none" w:pos="567"/>
                              </w:tabs>
                              <w:spacing w:after="0"/>
                              <w:ind w:left="-85"/>
                              <w:rPr>
                                <w:rFonts w:ascii="Arial" w:cs="Arial" w:hAnsi="Arial"/>
                                <w:b/>
                                <w:bCs/>
                                <w:caps/>
                                <w:sz w:val="20"/>
                                <w:szCs w:val="20"/>
                                <w:lang w:val="id-ID"/>
                              </w:rPr>
                            </w:pPr>
                          </w:p>
                          <w:p>
                            <w:pPr>
                              <w:pStyle w:val="style0"/>
                              <w:tabs>
                                <w:tab w:val="left" w:leader="none" w:pos="567"/>
                              </w:tabs>
                              <w:spacing w:after="0"/>
                              <w:ind w:left="-85"/>
                              <w:rPr>
                                <w:rFonts w:ascii="Tw Cen MT" w:cs="Arial" w:hAnsi="Tw Cen MT"/>
                                <w:b/>
                                <w:i/>
                                <w:sz w:val="20"/>
                                <w:szCs w:val="20"/>
                              </w:rPr>
                            </w:pPr>
                            <w:r>
                              <w:rPr>
                                <w:rFonts w:ascii="Tw Cen MT" w:cs="Arial" w:hAnsi="Tw Cen MT"/>
                                <w:b/>
                                <w:i/>
                                <w:sz w:val="20"/>
                                <w:szCs w:val="20"/>
                              </w:rPr>
                              <w:t>Article history</w:t>
                            </w:r>
                          </w:p>
                          <w:p>
                            <w:pPr>
                              <w:pStyle w:val="style74"/>
                              <w:spacing w:after="0"/>
                              <w:ind w:left="-125" w:right="-57"/>
                              <w:rPr>
                                <w:rFonts w:ascii="Tw Cen MT" w:cs="Noto Sans" w:hAnsi="Tw Cen MT"/>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Pr>
                                <w:rFonts w:ascii="Tw Cen MT" w:cs="Noto Sans" w:hAnsi="Tw Cen MT"/>
                                <w:sz w:val="20"/>
                                <w:szCs w:val="20"/>
                                <w:shd w:val="clear" w:color="auto" w:fill="ffffff"/>
                              </w:rPr>
                              <w:t>xxxx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p>
                          <w:p>
                            <w:pPr>
                              <w:pStyle w:val="style74"/>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Pr>
                                <w:rFonts w:ascii="Tw Cen MT" w:cs="Noto Sans" w:hAnsi="Tw Cen MT"/>
                                <w:sz w:val="20"/>
                                <w:szCs w:val="20"/>
                                <w:shd w:val="clear" w:color="auto" w:fill="ffffff"/>
                              </w:rPr>
                              <w:t>xxxx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p>
                          <w:p>
                            <w:pPr>
                              <w:pStyle w:val="style74"/>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Pr>
                                <w:rFonts w:ascii="Tw Cen MT" w:cs="Noto Sans" w:hAnsi="Tw Cen MT"/>
                                <w:sz w:val="20"/>
                                <w:szCs w:val="20"/>
                                <w:shd w:val="clear" w:color="auto" w:fill="ffffff"/>
                              </w:rPr>
                              <w:t>xxxx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p>
                          <w:p>
                            <w:pPr>
                              <w:pStyle w:val="style0"/>
                              <w:pBdr>
                                <w:top w:val="single" w:sz="4" w:space="0" w:color="auto"/>
                              </w:pBdr>
                              <w:tabs>
                                <w:tab w:val="left" w:leader="none" w:pos="567"/>
                              </w:tabs>
                              <w:spacing w:after="0"/>
                              <w:ind w:left="-85" w:right="-57"/>
                              <w:rPr>
                                <w:rFonts w:ascii="Tw Cen MT" w:cs="Arial" w:hAnsi="Tw Cen MT"/>
                                <w:b/>
                                <w:bCs/>
                                <w:i/>
                                <w:caps/>
                                <w:sz w:val="20"/>
                                <w:szCs w:val="20"/>
                              </w:rPr>
                            </w:pPr>
                          </w:p>
                          <w:p>
                            <w:pPr>
                              <w:pStyle w:val="style0"/>
                              <w:rPr>
                                <w:rFonts w:ascii="Tw Cen MT" w:hAnsi="Tw Cen MT"/>
                                <w:sz w:val="20"/>
                                <w:szCs w:val="20"/>
                              </w:rPr>
                            </w:pP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6" fillcolor="white" stroked="f" style="position:absolute;margin-left:1.4pt;margin-top:12.0pt;width:153.0pt;height:92.65pt;z-index:3;mso-position-horizontal-relative:text;mso-position-vertical-relative:text;mso-width-percent:0;mso-height-percent:0;mso-width-relative:margin;mso-height-relative:margin;mso-wrap-distance-left:0.0pt;mso-wrap-distance-right:0.0pt;visibility:visible;v-text-anchor:middle;">
                <v:stroke on="f" weight="2.0pt"/>
                <v:fill/>
                <v:textbox inset="7.2pt,3.6pt,7.2pt,3.6pt">
                  <w:txbxContent>
                    <w:p>
                      <w:pPr>
                        <w:pStyle w:val="style0"/>
                        <w:tabs>
                          <w:tab w:val="left" w:leader="none" w:pos="567"/>
                        </w:tabs>
                        <w:spacing w:after="0"/>
                        <w:ind w:left="-85"/>
                        <w:rPr>
                          <w:rFonts w:ascii="Tw Cen MT" w:cs="Arial" w:hAnsi="Tw Cen MT"/>
                          <w:b/>
                          <w:bCs/>
                          <w:caps/>
                          <w:sz w:val="20"/>
                          <w:szCs w:val="20"/>
                          <w:lang w:val="id-ID"/>
                        </w:rPr>
                      </w:pPr>
                      <w:r>
                        <w:rPr>
                          <w:rFonts w:ascii="Tw Cen MT" w:cs="Arial" w:hAnsi="Tw Cen MT"/>
                          <w:b/>
                          <w:bCs/>
                          <w:sz w:val="20"/>
                          <w:szCs w:val="20"/>
                        </w:rPr>
                        <w:t>Article Info</w:t>
                      </w:r>
                      <w:r>
                        <w:rPr>
                          <w:rFonts w:ascii="Tw Cen MT" w:cs="Arial" w:hAnsi="Tw Cen MT"/>
                          <w:b/>
                          <w:bCs/>
                          <w:sz w:val="20"/>
                          <w:szCs w:val="20"/>
                          <w:lang w:val="id-ID"/>
                        </w:rPr>
                        <w:t xml:space="preserve"> </w:t>
                      </w:r>
                    </w:p>
                    <w:p>
                      <w:pPr>
                        <w:pStyle w:val="style0"/>
                        <w:tabs>
                          <w:tab w:val="left" w:leader="none" w:pos="567"/>
                        </w:tabs>
                        <w:spacing w:after="0"/>
                        <w:ind w:left="-85"/>
                        <w:rPr>
                          <w:rFonts w:ascii="Arial" w:cs="Arial" w:hAnsi="Arial"/>
                          <w:b/>
                          <w:bCs/>
                          <w:caps/>
                          <w:sz w:val="20"/>
                          <w:szCs w:val="20"/>
                          <w:lang w:val="id-ID"/>
                        </w:rPr>
                      </w:pPr>
                    </w:p>
                    <w:p>
                      <w:pPr>
                        <w:pStyle w:val="style0"/>
                        <w:tabs>
                          <w:tab w:val="left" w:leader="none" w:pos="567"/>
                        </w:tabs>
                        <w:spacing w:after="0"/>
                        <w:ind w:left="-85"/>
                        <w:rPr>
                          <w:rFonts w:ascii="Tw Cen MT" w:cs="Arial" w:hAnsi="Tw Cen MT"/>
                          <w:b/>
                          <w:i/>
                          <w:sz w:val="20"/>
                          <w:szCs w:val="20"/>
                        </w:rPr>
                      </w:pPr>
                      <w:r>
                        <w:rPr>
                          <w:rFonts w:ascii="Tw Cen MT" w:cs="Arial" w:hAnsi="Tw Cen MT"/>
                          <w:b/>
                          <w:i/>
                          <w:sz w:val="20"/>
                          <w:szCs w:val="20"/>
                        </w:rPr>
                        <w:t>Article history</w:t>
                      </w:r>
                    </w:p>
                    <w:p>
                      <w:pPr>
                        <w:pStyle w:val="style74"/>
                        <w:spacing w:after="0"/>
                        <w:ind w:left="-125" w:right="-57"/>
                        <w:rPr>
                          <w:rFonts w:ascii="Tw Cen MT" w:cs="Noto Sans" w:hAnsi="Tw Cen MT"/>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Pr>
                          <w:rFonts w:ascii="Tw Cen MT" w:cs="Noto Sans" w:hAnsi="Tw Cen MT"/>
                          <w:sz w:val="20"/>
                          <w:szCs w:val="20"/>
                          <w:shd w:val="clear" w:color="auto" w:fill="ffffff"/>
                        </w:rPr>
                        <w:t>xxxx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p>
                    <w:p>
                      <w:pPr>
                        <w:pStyle w:val="style74"/>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Pr>
                          <w:rFonts w:ascii="Tw Cen MT" w:cs="Noto Sans" w:hAnsi="Tw Cen MT"/>
                          <w:sz w:val="20"/>
                          <w:szCs w:val="20"/>
                          <w:shd w:val="clear" w:color="auto" w:fill="ffffff"/>
                        </w:rPr>
                        <w:t>xxxx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p>
                    <w:p>
                      <w:pPr>
                        <w:pStyle w:val="style74"/>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Pr>
                          <w:rFonts w:ascii="Tw Cen MT" w:cs="Noto Sans" w:hAnsi="Tw Cen MT"/>
                          <w:sz w:val="20"/>
                          <w:szCs w:val="20"/>
                          <w:shd w:val="clear" w:color="auto" w:fill="ffffff"/>
                        </w:rPr>
                        <w:t>xxxx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p>
                    <w:p>
                      <w:pPr>
                        <w:pStyle w:val="style0"/>
                        <w:pBdr>
                          <w:top w:val="single" w:sz="4" w:space="0" w:color="auto"/>
                        </w:pBdr>
                        <w:tabs>
                          <w:tab w:val="left" w:leader="none" w:pos="567"/>
                        </w:tabs>
                        <w:spacing w:after="0"/>
                        <w:ind w:left="-85" w:right="-57"/>
                        <w:rPr>
                          <w:rFonts w:ascii="Tw Cen MT" w:cs="Arial" w:hAnsi="Tw Cen MT"/>
                          <w:b/>
                          <w:bCs/>
                          <w:i/>
                          <w:caps/>
                          <w:sz w:val="20"/>
                          <w:szCs w:val="20"/>
                        </w:rPr>
                      </w:pPr>
                    </w:p>
                    <w:p>
                      <w:pPr>
                        <w:pStyle w:val="style0"/>
                        <w:rPr>
                          <w:rFonts w:ascii="Tw Cen MT" w:hAnsi="Tw Cen MT"/>
                          <w:sz w:val="20"/>
                          <w:szCs w:val="20"/>
                        </w:rPr>
                      </w:pPr>
                    </w:p>
                  </w:txbxContent>
                </v:textbox>
              </v:rect>
            </w:pict>
          </mc:Fallback>
        </mc:AlternateContent>
      </w:r>
      <w:r>
        <w:rPr>
          <w:rFonts w:ascii="Tw Cen MT" w:hAnsi="Tw Cen MT"/>
          <w:noProof/>
        </w:rPr>
        <mc:AlternateContent>
          <mc:Choice Requires="wps">
            <w:drawing>
              <wp:anchor distT="0" distB="0" distL="0" distR="0" simplePos="false" relativeHeight="2" behindDoc="false" locked="false" layoutInCell="true" allowOverlap="true">
                <wp:simplePos x="0" y="0"/>
                <wp:positionH relativeFrom="column">
                  <wp:posOffset>9728</wp:posOffset>
                </wp:positionH>
                <wp:positionV relativeFrom="paragraph">
                  <wp:posOffset>124838</wp:posOffset>
                </wp:positionV>
                <wp:extent cx="5966257" cy="0"/>
                <wp:effectExtent l="0" t="0" r="15875" b="19050"/>
                <wp:wrapNone/>
                <wp:docPr id="1027" name="Straight Arrow Connector 6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66257" cy="0"/>
                        </a:xfrm>
                        <a:prstGeom prst="straightConnector1"/>
                        <a:ln cmpd="sng" cap="flat" w="19050">
                          <a:solidFill>
                            <a:srgbClr val="000000"/>
                          </a:solidFill>
                          <a:prstDash val="solid"/>
                          <a:round/>
                          <a:headEnd len="sm" w="sm" type="none"/>
                          <a:tailEnd len="sm" w="sm"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0.77pt;margin-top:9.83pt;width:469.78pt;height:0.0pt;z-index:2;mso-position-horizontal-relative:text;mso-position-vertical-relative:text;mso-width-percent:0;mso-height-percent:0;mso-width-relative:margin;mso-height-relative:margin;mso-wrap-distance-left:0.0pt;mso-wrap-distance-right:0.0pt;visibility:visible;">
                <v:stroke startarrowwidth="narrow" startarrowlength="short" endarrowwidth="narrow" endarrowlength="short" weight="1.5pt"/>
                <v:fill/>
              </v:shape>
            </w:pict>
          </mc:Fallback>
        </mc:AlternateContent>
      </w:r>
    </w:p>
    <w:p>
      <w:pPr>
        <w:pStyle w:val="style0"/>
        <w:spacing w:after="0"/>
        <w:ind w:left="2399" w:firstLine="719"/>
        <w:rPr>
          <w:rFonts w:ascii="Tw Cen MT" w:cs="Twentieth Century" w:eastAsia="Twentieth Century" w:hAnsi="Tw Cen MT"/>
        </w:rPr>
      </w:pPr>
      <w:r>
        <w:rPr>
          <w:rFonts w:ascii="Tw Cen MT" w:cs="Twentieth Century" w:eastAsia="Twentieth Century" w:hAnsi="Tw Cen MT"/>
          <w:b/>
          <w:i/>
          <w:sz w:val="20"/>
          <w:szCs w:val="20"/>
        </w:rPr>
        <w:t xml:space="preserve"> </w:t>
      </w:r>
      <w:r>
        <w:rPr>
          <w:rFonts w:ascii="Tw Cen MT" w:cs="Twentieth Century" w:eastAsia="Twentieth Century" w:hAnsi="Tw Cen MT"/>
          <w:b/>
          <w:i/>
          <w:sz w:val="20"/>
          <w:szCs w:val="20"/>
        </w:rPr>
        <w:t>Abstract</w:t>
      </w:r>
    </w:p>
    <w:p>
      <w:pPr>
        <w:pStyle w:val="style0"/>
        <w:widowControl w:val="false"/>
        <w:spacing w:after="0" w:lineRule="auto" w:line="228"/>
        <w:ind w:left="3150" w:right="-19"/>
        <w:jc w:val="both"/>
        <w:rPr>
          <w:rFonts w:ascii="Tw Cen MT" w:cs="Twentieth Century" w:eastAsia="Twentieth Century" w:hAnsi="Tw Cen MT"/>
          <w:i/>
          <w:noProof/>
          <w:color w:val="000000"/>
          <w:sz w:val="20"/>
          <w:szCs w:val="20"/>
        </w:rPr>
      </w:pPr>
      <w:r>
        <w:rPr>
          <w:rFonts w:ascii="Tw Cen MT" w:cs="Twentieth Century" w:eastAsia="Twentieth Century" w:hAnsi="Tw Cen MT"/>
          <w:i/>
          <w:noProof/>
          <w:color w:val="000000"/>
          <w:sz w:val="20"/>
          <w:szCs w:val="20"/>
        </w:rPr>
        <w:drawing>
          <wp:anchor distT="0" distB="0" distL="114300" distR="114300" simplePos="false" relativeHeight="4" behindDoc="true" locked="false" layoutInCell="true" allowOverlap="true">
            <wp:simplePos x="0" y="0"/>
            <wp:positionH relativeFrom="column">
              <wp:posOffset>45085</wp:posOffset>
            </wp:positionH>
            <wp:positionV relativeFrom="paragraph">
              <wp:posOffset>996950</wp:posOffset>
            </wp:positionV>
            <wp:extent cx="1016000" cy="358139"/>
            <wp:effectExtent l="0" t="0" r="0" b="3810"/>
            <wp:wrapThrough wrapText="bothSides">
              <wp:wrapPolygon edited="false">
                <wp:start x="0" y="0"/>
                <wp:lineTo x="0" y="20681"/>
                <wp:lineTo x="21060" y="20681"/>
                <wp:lineTo x="21060" y="0"/>
                <wp:lineTo x="0" y="0"/>
              </wp:wrapPolygon>
            </wp:wrapThrough>
            <wp:docPr id="1028" name="Picture 3" descr="D:\IRA\JURNAL PROTEKSI OJS\ccbysa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4" cstate="print"/>
                    <a:srcRect l="0" t="0" r="0" b="0"/>
                    <a:stretch/>
                  </pic:blipFill>
                  <pic:spPr>
                    <a:xfrm rot="0">
                      <a:off x="0" y="0"/>
                      <a:ext cx="1016000" cy="358139"/>
                    </a:xfrm>
                    <a:prstGeom prst="rect"/>
                    <a:ln>
                      <a:noFill/>
                    </a:ln>
                  </pic:spPr>
                </pic:pic>
              </a:graphicData>
            </a:graphic>
            <wp14:sizeRelH relativeFrom="page">
              <wp14:pctWidth>0</wp14:pctWidth>
            </wp14:sizeRelH>
            <wp14:sizeRelV relativeFrom="page">
              <wp14:pctHeight>0</wp14:pctHeight>
            </wp14:sizeRelV>
          </wp:anchor>
        </w:drawing>
      </w:r>
      <w:r>
        <w:rPr>
          <w:rFonts w:ascii="Times New Roman" w:cs="Times New Roman" w:eastAsia="Times New Roman" w:hAnsi="Times New Roman"/>
          <w:sz w:val="24"/>
          <w:szCs w:val="24"/>
        </w:rPr>
        <w:t xml:space="preserve"> </w:t>
      </w:r>
      <w:r>
        <w:rPr>
          <w:rFonts w:ascii="Tw Cen MT" w:cs="Twentieth Century" w:eastAsia="Twentieth Century" w:hAnsi="Tw Cen MT"/>
          <w:i/>
          <w:noProof/>
          <w:color w:val="000000"/>
          <w:sz w:val="20"/>
          <w:szCs w:val="20"/>
        </w:rPr>
        <w:t>Stunting remains a major health issue for the Indonesian population; estimates place the number of stunted children under the age of five at 27,7%. Using various techniques to reduce the aforementioned angka. There are numerous factors that are closely related to buruk gizi and keluarga, not just one or two of them that serve as the cause. Untuk memenuhi kebutuhan anak dan memberi mereka tumbuh kembang yang baik, orang tua dan keluarga beragam segera agar anak dapat hidup dengan baik meskipun ada problemas kesehatan. Pendekatan koping keluarga yang positif sangat penting untuk mengatasi masalah, terhalang kesehatan keluarga. Without an effective mechanism for group koping, group functions cannot be performed in an appropriate manner. Balita kejadian Stunting juga terat dengan keberlangsungan pelaksanaan fungsi keluarga. One of the most important factors in preventing malnutrition in children is family background.</w:t>
      </w:r>
    </w:p>
    <w:p>
      <w:pPr>
        <w:pStyle w:val="style0"/>
        <w:widowControl w:val="false"/>
        <w:spacing w:after="0" w:lineRule="auto" w:line="228"/>
        <w:ind w:left="3150" w:right="-19"/>
        <w:jc w:val="both"/>
        <w:rPr>
          <w:rFonts w:ascii="Tw Cen MT" w:cs="Twentieth Century" w:eastAsia="Twentieth Century" w:hAnsi="Tw Cen MT"/>
          <w:i/>
          <w:sz w:val="8"/>
          <w:szCs w:val="8"/>
        </w:rPr>
      </w:pPr>
    </w:p>
    <w:p>
      <w:pPr>
        <w:pStyle w:val="style0"/>
        <w:widowControl w:val="false"/>
        <w:spacing w:after="0" w:lineRule="auto" w:line="228"/>
        <w:ind w:left="3150" w:right="-19"/>
        <w:jc w:val="both"/>
        <w:rPr>
          <w:rFonts w:ascii="Tw Cen MT" w:cs="Twentieth Century" w:eastAsia="Twentieth Century" w:hAnsi="Tw Cen MT"/>
          <w:b/>
          <w:i/>
          <w:sz w:val="20"/>
          <w:szCs w:val="20"/>
        </w:rPr>
      </w:pPr>
      <w:r>
        <w:rPr>
          <w:rFonts w:ascii="Tw Cen MT" w:cs="Twentieth Century" w:eastAsia="Twentieth Century" w:hAnsi="Tw Cen MT"/>
          <w:b/>
          <w:i/>
          <w:sz w:val="20"/>
          <w:szCs w:val="20"/>
        </w:rPr>
        <w:t>Keywords:</w:t>
      </w:r>
    </w:p>
    <w:p>
      <w:pPr>
        <w:pStyle w:val="style0"/>
        <w:tabs>
          <w:tab w:val="left" w:leader="none" w:pos="426"/>
        </w:tabs>
        <w:spacing w:after="0" w:lineRule="auto" w:line="240"/>
        <w:ind w:left="3150"/>
        <w:jc w:val="both"/>
        <w:rPr>
          <w:rFonts w:ascii="Tw Cen MT" w:cs="Twentieth Century" w:eastAsia="Twentieth Century" w:hAnsi="Tw Cen MT"/>
          <w:i/>
          <w:sz w:val="20"/>
          <w:szCs w:val="20"/>
        </w:rPr>
      </w:pPr>
      <w:r>
        <w:rPr>
          <w:rFonts w:ascii="Tw Cen MT" w:cs="Twentieth Century" w:eastAsia="Twentieth Century" w:hAnsi="Tw Cen MT"/>
          <w:i/>
          <w:sz w:val="20"/>
          <w:szCs w:val="20"/>
        </w:rPr>
        <w:t>Coping</w:t>
      </w:r>
      <w:r>
        <w:rPr>
          <w:rFonts w:ascii="Tw Cen MT" w:cs="Twentieth Century" w:eastAsia="Twentieth Century" w:hAnsi="Tw Cen MT"/>
          <w:i/>
          <w:sz w:val="20"/>
          <w:szCs w:val="20"/>
        </w:rPr>
        <w:t xml:space="preserve">; </w:t>
      </w:r>
      <w:r>
        <w:rPr>
          <w:rFonts w:ascii="Tw Cen MT" w:cs="Twentieth Century" w:eastAsia="Twentieth Century" w:hAnsi="Tw Cen MT"/>
          <w:i/>
          <w:sz w:val="20"/>
          <w:szCs w:val="20"/>
        </w:rPr>
        <w:t>Familly</w:t>
      </w:r>
      <w:r>
        <w:rPr>
          <w:rFonts w:ascii="Tw Cen MT" w:cs="Twentieth Century" w:eastAsia="Twentieth Century" w:hAnsi="Tw Cen MT"/>
          <w:i/>
          <w:sz w:val="20"/>
          <w:szCs w:val="20"/>
        </w:rPr>
        <w:t xml:space="preserve">; </w:t>
      </w:r>
      <w:r>
        <w:rPr>
          <w:rFonts w:ascii="Tw Cen MT" w:cs="Twentieth Century" w:eastAsia="Twentieth Century" w:hAnsi="Tw Cen MT"/>
          <w:i/>
          <w:sz w:val="20"/>
          <w:szCs w:val="20"/>
        </w:rPr>
        <w:t>stunting</w:t>
      </w:r>
    </w:p>
    <w:p>
      <w:pPr>
        <w:pStyle w:val="style0"/>
        <w:tabs>
          <w:tab w:val="left" w:leader="none" w:pos="426"/>
        </w:tabs>
        <w:spacing w:after="0"/>
        <w:ind w:left="3150"/>
        <w:jc w:val="both"/>
        <w:rPr>
          <w:rFonts w:ascii="Tw Cen MT" w:cs="Twentieth Century" w:eastAsia="Twentieth Century" w:hAnsi="Tw Cen MT"/>
          <w:b/>
          <w:sz w:val="20"/>
          <w:szCs w:val="20"/>
        </w:rPr>
      </w:pPr>
    </w:p>
    <w:commentRangeStart w:id="1"/>
    <w:p>
      <w:pPr>
        <w:pStyle w:val="style0"/>
        <w:tabs>
          <w:tab w:val="left" w:leader="none" w:pos="426"/>
        </w:tabs>
        <w:spacing w:after="0"/>
        <w:ind w:left="3150"/>
        <w:jc w:val="both"/>
        <w:rPr>
          <w:rFonts w:ascii="Tw Cen MT" w:cs="Twentieth Century" w:eastAsia="Twentieth Century" w:hAnsi="Tw Cen MT"/>
          <w:b/>
          <w:sz w:val="20"/>
          <w:szCs w:val="20"/>
        </w:rPr>
      </w:pPr>
      <w:r>
        <w:rPr>
          <w:rFonts w:ascii="Tw Cen MT" w:cs="Twentieth Century" w:eastAsia="Twentieth Century" w:hAnsi="Tw Cen MT"/>
          <w:b/>
          <w:sz w:val="20"/>
          <w:szCs w:val="20"/>
        </w:rPr>
        <w:t>Abstrak</w:t>
      </w:r>
      <w:commentRangeEnd w:id="1"/>
      <w:r>
        <w:rPr/>
        <w:commentReference w:id="1"/>
      </w:r>
    </w:p>
    <w:p>
      <w:pPr>
        <w:pStyle w:val="style0"/>
        <w:tabs>
          <w:tab w:val="left" w:leader="none" w:pos="426"/>
        </w:tabs>
        <w:spacing w:after="0" w:lineRule="auto" w:line="240"/>
        <w:ind w:left="3150"/>
        <w:jc w:val="both"/>
        <w:rPr>
          <w:rFonts w:ascii="Tw Cen MT" w:cs="Twentieth Century" w:eastAsia="Twentieth Century" w:hAnsi="Tw Cen MT"/>
          <w:iCs/>
          <w:color w:val="000000"/>
          <w:sz w:val="20"/>
          <w:szCs w:val="20"/>
        </w:rPr>
      </w:pPr>
      <w:r>
        <w:rPr>
          <w:rFonts w:ascii="Tw Cen MT" w:cs="Twentieth Century" w:eastAsia="Twentieth Century" w:hAnsi="Tw Cen MT"/>
          <w:i/>
          <w:color w:val="000000"/>
          <w:sz w:val="20"/>
          <w:szCs w:val="20"/>
        </w:rPr>
        <w:t>S</w:t>
      </w:r>
      <w:r>
        <w:rPr>
          <w:rFonts w:ascii="Tw Cen MT" w:cs="Twentieth Century" w:eastAsia="Twentieth Century" w:hAnsi="Tw Cen MT"/>
          <w:i/>
          <w:color w:val="000000"/>
          <w:sz w:val="20"/>
          <w:szCs w:val="20"/>
        </w:rPr>
        <w:t>tunting</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masih</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merupakan</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masalah</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kesehatan</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masyarakat</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d</w:t>
      </w:r>
      <w:r>
        <w:rPr>
          <w:rFonts w:ascii="Tw Cen MT" w:cs="Twentieth Century" w:eastAsia="Twentieth Century" w:hAnsi="Tw Cen MT"/>
          <w:iCs/>
          <w:color w:val="000000"/>
          <w:sz w:val="20"/>
          <w:szCs w:val="20"/>
        </w:rPr>
        <w:t xml:space="preserve">i Indonesia, </w:t>
      </w:r>
      <w:r>
        <w:rPr>
          <w:rFonts w:ascii="Tw Cen MT" w:cs="Twentieth Century" w:eastAsia="Twentieth Century" w:hAnsi="Tw Cen MT"/>
          <w:iCs/>
          <w:color w:val="000000"/>
          <w:sz w:val="20"/>
          <w:szCs w:val="20"/>
        </w:rPr>
        <w:t>diperkirakan</w:t>
      </w:r>
      <w:r>
        <w:rPr>
          <w:rFonts w:ascii="Tw Cen MT" w:cs="Twentieth Century" w:eastAsia="Twentieth Century" w:hAnsi="Tw Cen MT"/>
          <w:iCs/>
          <w:color w:val="000000"/>
          <w:sz w:val="20"/>
          <w:szCs w:val="20"/>
        </w:rPr>
        <w:t xml:space="preserve"> 27,7% </w:t>
      </w:r>
      <w:r>
        <w:rPr>
          <w:rFonts w:ascii="Tw Cen MT" w:cs="Twentieth Century" w:eastAsia="Twentieth Century" w:hAnsi="Tw Cen MT"/>
          <w:iCs/>
          <w:color w:val="000000"/>
          <w:sz w:val="20"/>
          <w:szCs w:val="20"/>
        </w:rPr>
        <w:t>anak</w:t>
      </w:r>
      <w:r>
        <w:rPr>
          <w:rFonts w:ascii="Tw Cen MT" w:cs="Twentieth Century" w:eastAsia="Twentieth Century" w:hAnsi="Tw Cen MT"/>
          <w:iCs/>
          <w:color w:val="000000"/>
          <w:sz w:val="20"/>
          <w:szCs w:val="20"/>
        </w:rPr>
        <w:t xml:space="preserve"> di </w:t>
      </w:r>
      <w:r>
        <w:rPr>
          <w:rFonts w:ascii="Tw Cen MT" w:cs="Twentieth Century" w:eastAsia="Twentieth Century" w:hAnsi="Tw Cen MT"/>
          <w:iCs/>
          <w:color w:val="000000"/>
          <w:sz w:val="20"/>
          <w:szCs w:val="20"/>
        </w:rPr>
        <w:t>bawah</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usia</w:t>
      </w:r>
      <w:r>
        <w:rPr>
          <w:rFonts w:ascii="Tw Cen MT" w:cs="Twentieth Century" w:eastAsia="Twentieth Century" w:hAnsi="Tw Cen MT"/>
          <w:iCs/>
          <w:color w:val="000000"/>
          <w:sz w:val="20"/>
          <w:szCs w:val="20"/>
        </w:rPr>
        <w:t xml:space="preserve"> lima </w:t>
      </w:r>
      <w:r>
        <w:rPr>
          <w:rFonts w:ascii="Tw Cen MT" w:cs="Twentieth Century" w:eastAsia="Twentieth Century" w:hAnsi="Tw Cen MT"/>
          <w:iCs/>
          <w:color w:val="000000"/>
          <w:sz w:val="20"/>
          <w:szCs w:val="20"/>
        </w:rPr>
        <w:t>tahun</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mengalami</w:t>
      </w:r>
      <w:r>
        <w:rPr>
          <w:rFonts w:ascii="Tw Cen MT" w:cs="Twentieth Century" w:eastAsia="Twentieth Century" w:hAnsi="Tw Cen MT"/>
          <w:iCs/>
          <w:color w:val="000000"/>
          <w:sz w:val="20"/>
          <w:szCs w:val="20"/>
        </w:rPr>
        <w:t xml:space="preserve"> stunting</w:t>
      </w:r>
      <w:r>
        <w:rPr>
          <w:rFonts w:ascii="Tw Cen MT" w:cs="Twentieth Century" w:eastAsia="Twentieth Century" w:hAnsi="Tw Cen MT"/>
          <w:iCs/>
          <w:color w:val="000000"/>
          <w:sz w:val="20"/>
          <w:szCs w:val="20"/>
        </w:rPr>
        <w:t>.</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Dengan</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berbagai</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 xml:space="preserve">Upaya </w:t>
      </w:r>
      <w:r>
        <w:rPr>
          <w:rFonts w:ascii="Tw Cen MT" w:cs="Twentieth Century" w:eastAsia="Twentieth Century" w:hAnsi="Tw Cen MT"/>
          <w:iCs/>
          <w:color w:val="000000"/>
          <w:sz w:val="20"/>
          <w:szCs w:val="20"/>
        </w:rPr>
        <w:t>untuk</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menurunkan</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angka</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tersebut</w:t>
      </w:r>
      <w:r>
        <w:rPr>
          <w:rFonts w:ascii="Tw Cen MT" w:cs="Twentieth Century" w:eastAsia="Twentieth Century" w:hAnsi="Tw Cen MT"/>
          <w:iCs/>
          <w:color w:val="000000"/>
          <w:sz w:val="20"/>
          <w:szCs w:val="20"/>
        </w:rPr>
        <w:t xml:space="preserve">. Faktor </w:t>
      </w:r>
      <w:r>
        <w:rPr>
          <w:rFonts w:ascii="Tw Cen MT" w:cs="Twentieth Century" w:eastAsia="Twentieth Century" w:hAnsi="Tw Cen MT"/>
          <w:iCs/>
          <w:color w:val="000000"/>
          <w:sz w:val="20"/>
          <w:szCs w:val="20"/>
        </w:rPr>
        <w:t>keluarga</w:t>
      </w:r>
      <w:r>
        <w:rPr>
          <w:rFonts w:ascii="Tw Cen MT" w:cs="Twentieth Century" w:eastAsia="Twentieth Century" w:hAnsi="Tw Cen MT"/>
          <w:iCs/>
          <w:color w:val="000000"/>
          <w:sz w:val="20"/>
          <w:szCs w:val="20"/>
        </w:rPr>
        <w:t xml:space="preserve"> dan </w:t>
      </w:r>
      <w:r>
        <w:rPr>
          <w:rFonts w:ascii="Tw Cen MT" w:cs="Twentieth Century" w:eastAsia="Twentieth Century" w:hAnsi="Tw Cen MT"/>
          <w:iCs/>
          <w:color w:val="000000"/>
          <w:sz w:val="20"/>
          <w:szCs w:val="20"/>
        </w:rPr>
        <w:t>asupan</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gizi</w:t>
      </w:r>
      <w:r>
        <w:rPr>
          <w:rFonts w:ascii="Tw Cen MT" w:cs="Twentieth Century" w:eastAsia="Twentieth Century" w:hAnsi="Tw Cen MT"/>
          <w:iCs/>
          <w:color w:val="000000"/>
          <w:sz w:val="20"/>
          <w:szCs w:val="20"/>
        </w:rPr>
        <w:t xml:space="preserve"> yang </w:t>
      </w:r>
      <w:r>
        <w:rPr>
          <w:rFonts w:ascii="Tw Cen MT" w:cs="Twentieth Century" w:eastAsia="Twentieth Century" w:hAnsi="Tw Cen MT"/>
          <w:iCs/>
          <w:color w:val="000000"/>
          <w:sz w:val="20"/>
          <w:szCs w:val="20"/>
        </w:rPr>
        <w:t>buruk</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bukan</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satu-satunya</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 xml:space="preserve">yang </w:t>
      </w:r>
      <w:r>
        <w:rPr>
          <w:rFonts w:ascii="Tw Cen MT" w:cs="Twentieth Century" w:eastAsia="Twentieth Century" w:hAnsi="Tw Cen MT"/>
          <w:iCs/>
          <w:color w:val="000000"/>
          <w:sz w:val="20"/>
          <w:szCs w:val="20"/>
        </w:rPr>
        <w:t>menjadi</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penyebab</w:t>
      </w:r>
      <w:r>
        <w:rPr>
          <w:rFonts w:ascii="Tw Cen MT" w:cs="Twentieth Century" w:eastAsia="Twentieth Century" w:hAnsi="Tw Cen MT"/>
          <w:iCs/>
          <w:color w:val="000000"/>
          <w:sz w:val="20"/>
          <w:szCs w:val="20"/>
        </w:rPr>
        <w:t>,</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ada</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banyak</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faktor</w:t>
      </w:r>
      <w:r>
        <w:rPr>
          <w:rFonts w:ascii="Tw Cen MT" w:cs="Twentieth Century" w:eastAsia="Twentieth Century" w:hAnsi="Tw Cen MT"/>
          <w:iCs/>
          <w:color w:val="000000"/>
          <w:sz w:val="20"/>
          <w:szCs w:val="20"/>
        </w:rPr>
        <w:t xml:space="preserve"> yang </w:t>
      </w:r>
      <w:r>
        <w:rPr>
          <w:rFonts w:ascii="Tw Cen MT" w:cs="Twentieth Century" w:eastAsia="Twentieth Century" w:hAnsi="Tw Cen MT"/>
          <w:iCs/>
          <w:color w:val="000000"/>
          <w:sz w:val="20"/>
          <w:szCs w:val="20"/>
        </w:rPr>
        <w:t>saling</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terkait</w:t>
      </w:r>
      <w:r>
        <w:rPr>
          <w:rFonts w:ascii="Tw Cen MT" w:cs="Twentieth Century" w:eastAsia="Twentieth Century" w:hAnsi="Tw Cen MT"/>
          <w:iCs/>
          <w:color w:val="000000"/>
          <w:sz w:val="20"/>
          <w:szCs w:val="20"/>
        </w:rPr>
        <w:t xml:space="preserve">. Peran orang </w:t>
      </w:r>
      <w:r>
        <w:rPr>
          <w:rFonts w:ascii="Tw Cen MT" w:cs="Twentieth Century" w:eastAsia="Twentieth Century" w:hAnsi="Tw Cen MT"/>
          <w:iCs/>
          <w:color w:val="000000"/>
          <w:sz w:val="20"/>
          <w:szCs w:val="20"/>
        </w:rPr>
        <w:t>tua</w:t>
      </w:r>
      <w:r>
        <w:rPr>
          <w:rFonts w:ascii="Tw Cen MT" w:cs="Twentieth Century" w:eastAsia="Twentieth Century" w:hAnsi="Tw Cen MT"/>
          <w:iCs/>
          <w:color w:val="000000"/>
          <w:sz w:val="20"/>
          <w:szCs w:val="20"/>
        </w:rPr>
        <w:t xml:space="preserve"> dan </w:t>
      </w:r>
      <w:r>
        <w:rPr>
          <w:rFonts w:ascii="Tw Cen MT" w:cs="Twentieth Century" w:eastAsia="Twentieth Century" w:hAnsi="Tw Cen MT"/>
          <w:iCs/>
          <w:color w:val="000000"/>
          <w:sz w:val="20"/>
          <w:szCs w:val="20"/>
        </w:rPr>
        <w:t>keluarga</w:t>
      </w:r>
      <w:r>
        <w:rPr>
          <w:rFonts w:ascii="Tw Cen MT" w:cs="Twentieth Century" w:eastAsia="Twentieth Century" w:hAnsi="Tw Cen MT"/>
          <w:iCs/>
          <w:color w:val="000000"/>
          <w:sz w:val="20"/>
          <w:szCs w:val="20"/>
        </w:rPr>
        <w:t xml:space="preserve"> sangat </w:t>
      </w:r>
      <w:r>
        <w:rPr>
          <w:rFonts w:ascii="Tw Cen MT" w:cs="Twentieth Century" w:eastAsia="Twentieth Century" w:hAnsi="Tw Cen MT"/>
          <w:iCs/>
          <w:color w:val="000000"/>
          <w:sz w:val="20"/>
          <w:szCs w:val="20"/>
        </w:rPr>
        <w:t>penting</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untuk</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memenuhi</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kebutuhan</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anak</w:t>
      </w:r>
      <w:r>
        <w:rPr>
          <w:rFonts w:ascii="Tw Cen MT" w:cs="Twentieth Century" w:eastAsia="Twentieth Century" w:hAnsi="Tw Cen MT"/>
          <w:iCs/>
          <w:color w:val="000000"/>
          <w:sz w:val="20"/>
          <w:szCs w:val="20"/>
        </w:rPr>
        <w:t xml:space="preserve"> dan </w:t>
      </w:r>
      <w:r>
        <w:rPr>
          <w:rFonts w:ascii="Tw Cen MT" w:cs="Twentieth Century" w:eastAsia="Twentieth Century" w:hAnsi="Tw Cen MT"/>
          <w:iCs/>
          <w:color w:val="000000"/>
          <w:sz w:val="20"/>
          <w:szCs w:val="20"/>
        </w:rPr>
        <w:t>memberi</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mereka</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tumbuh</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kembang</w:t>
      </w:r>
      <w:r>
        <w:rPr>
          <w:rFonts w:ascii="Tw Cen MT" w:cs="Twentieth Century" w:eastAsia="Twentieth Century" w:hAnsi="Tw Cen MT"/>
          <w:iCs/>
          <w:color w:val="000000"/>
          <w:sz w:val="20"/>
          <w:szCs w:val="20"/>
        </w:rPr>
        <w:t xml:space="preserve"> yang </w:t>
      </w:r>
      <w:r>
        <w:rPr>
          <w:rFonts w:ascii="Tw Cen MT" w:cs="Twentieth Century" w:eastAsia="Twentieth Century" w:hAnsi="Tw Cen MT"/>
          <w:iCs/>
          <w:color w:val="000000"/>
          <w:sz w:val="20"/>
          <w:szCs w:val="20"/>
        </w:rPr>
        <w:t>baik</w:t>
      </w:r>
      <w:r>
        <w:rPr>
          <w:rFonts w:ascii="Tw Cen MT" w:cs="Twentieth Century" w:eastAsia="Twentieth Century" w:hAnsi="Tw Cen MT"/>
          <w:iCs/>
          <w:color w:val="000000"/>
          <w:sz w:val="20"/>
          <w:szCs w:val="20"/>
        </w:rPr>
        <w:t>,</w:t>
      </w:r>
      <w:r>
        <w:rPr>
          <w:rFonts w:ascii="Tw Cen MT" w:cs="Twentieth Century" w:eastAsia="Twentieth Century" w:hAnsi="Tw Cen MT"/>
          <w:iCs/>
          <w:color w:val="000000"/>
          <w:sz w:val="20"/>
          <w:szCs w:val="20"/>
        </w:rPr>
        <w:t xml:space="preserve"> agar </w:t>
      </w:r>
      <w:r>
        <w:rPr>
          <w:rFonts w:ascii="Tw Cen MT" w:cs="Twentieth Century" w:eastAsia="Twentieth Century" w:hAnsi="Tw Cen MT"/>
          <w:iCs/>
          <w:color w:val="000000"/>
          <w:sz w:val="20"/>
          <w:szCs w:val="20"/>
        </w:rPr>
        <w:t>anak</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dapat</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hidup</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dengan</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baik</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meskipun</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ada</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masalah</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kesehatan</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Untuk</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mengatasi</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masalah</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termasuk</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masalah</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kesehatan</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keluarga</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pendekatan</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koping</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keluarga</w:t>
      </w:r>
      <w:r>
        <w:rPr>
          <w:rFonts w:ascii="Tw Cen MT" w:cs="Twentieth Century" w:eastAsia="Twentieth Century" w:hAnsi="Tw Cen MT"/>
          <w:iCs/>
          <w:color w:val="000000"/>
          <w:sz w:val="20"/>
          <w:szCs w:val="20"/>
        </w:rPr>
        <w:t xml:space="preserve"> </w:t>
      </w:r>
      <w:commentRangeStart w:id="2"/>
      <w:r>
        <w:rPr>
          <w:rFonts w:ascii="Tw Cen MT" w:cs="Twentieth Century" w:eastAsia="Twentieth Century" w:hAnsi="Tw Cen MT"/>
          <w:iCs/>
          <w:color w:val="000000"/>
          <w:sz w:val="20"/>
          <w:szCs w:val="20"/>
        </w:rPr>
        <w:t>yang</w:t>
      </w:r>
      <w:commentRangeEnd w:id="2"/>
      <w:r>
        <w:rPr/>
        <w:commentReference w:id="2"/>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positif</w:t>
      </w:r>
      <w:r>
        <w:rPr>
          <w:rFonts w:ascii="Tw Cen MT" w:cs="Twentieth Century" w:eastAsia="Twentieth Century" w:hAnsi="Tw Cen MT"/>
          <w:iCs/>
          <w:color w:val="000000"/>
          <w:sz w:val="20"/>
          <w:szCs w:val="20"/>
        </w:rPr>
        <w:t xml:space="preserve"> sangat </w:t>
      </w:r>
      <w:r>
        <w:rPr>
          <w:rFonts w:ascii="Tw Cen MT" w:cs="Twentieth Century" w:eastAsia="Twentieth Century" w:hAnsi="Tw Cen MT"/>
          <w:iCs/>
          <w:color w:val="000000"/>
          <w:sz w:val="20"/>
          <w:szCs w:val="20"/>
        </w:rPr>
        <w:t>penting</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Tanpa</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mekanisme</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koping</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keluarga</w:t>
      </w:r>
      <w:r>
        <w:rPr>
          <w:rFonts w:ascii="Tw Cen MT" w:cs="Twentieth Century" w:eastAsia="Twentieth Century" w:hAnsi="Tw Cen MT"/>
          <w:iCs/>
          <w:color w:val="000000"/>
          <w:sz w:val="20"/>
          <w:szCs w:val="20"/>
        </w:rPr>
        <w:t xml:space="preserve"> yang </w:t>
      </w:r>
      <w:r>
        <w:rPr>
          <w:rFonts w:ascii="Tw Cen MT" w:cs="Twentieth Century" w:eastAsia="Twentieth Century" w:hAnsi="Tw Cen MT"/>
          <w:iCs/>
          <w:color w:val="000000"/>
          <w:sz w:val="20"/>
          <w:szCs w:val="20"/>
        </w:rPr>
        <w:t>efektif</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maka</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fungsi</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keluarga</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tidak</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akan</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dapat</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dicapai</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secara</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adekuat</w:t>
      </w:r>
      <w:r>
        <w:rPr>
          <w:rFonts w:ascii="Tw Cen MT" w:cs="Twentieth Century" w:eastAsia="Twentieth Century" w:hAnsi="Tw Cen MT"/>
          <w:iCs/>
          <w:color w:val="000000"/>
          <w:sz w:val="20"/>
          <w:szCs w:val="20"/>
        </w:rPr>
        <w:t>.</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 xml:space="preserve">Desa </w:t>
      </w:r>
      <w:r>
        <w:rPr>
          <w:rFonts w:ascii="Tw Cen MT" w:cs="Twentieth Century" w:eastAsia="Twentieth Century" w:hAnsi="Tw Cen MT"/>
          <w:iCs/>
          <w:color w:val="000000"/>
          <w:sz w:val="20"/>
          <w:szCs w:val="20"/>
        </w:rPr>
        <w:t>Air  </w:t>
      </w:r>
      <w:r>
        <w:rPr>
          <w:rFonts w:ascii="Tw Cen MT" w:cs="Twentieth Century" w:eastAsia="Twentieth Century" w:hAnsi="Tw Cen MT"/>
          <w:iCs/>
          <w:color w:val="000000"/>
          <w:sz w:val="20"/>
          <w:szCs w:val="20"/>
        </w:rPr>
        <w:t>Jernih</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merupakan</w:t>
      </w:r>
      <w:r>
        <w:rPr>
          <w:rFonts w:ascii="Tw Cen MT" w:cs="Twentieth Century" w:eastAsia="Twentieth Century" w:hAnsi="Tw Cen MT"/>
          <w:iCs/>
          <w:color w:val="000000"/>
          <w:sz w:val="20"/>
          <w:szCs w:val="20"/>
        </w:rPr>
        <w:t xml:space="preserve"> Desa </w:t>
      </w:r>
      <w:r>
        <w:rPr>
          <w:rFonts w:ascii="Tw Cen MT" w:cs="Twentieth Century" w:eastAsia="Twentieth Century" w:hAnsi="Tw Cen MT"/>
          <w:iCs/>
          <w:color w:val="000000"/>
          <w:sz w:val="20"/>
          <w:szCs w:val="20"/>
        </w:rPr>
        <w:t>Lokus</w:t>
      </w:r>
      <w:r>
        <w:rPr>
          <w:rFonts w:ascii="Tw Cen MT" w:cs="Twentieth Century" w:eastAsia="Twentieth Century" w:hAnsi="Tw Cen MT"/>
          <w:iCs/>
          <w:color w:val="000000"/>
          <w:sz w:val="20"/>
          <w:szCs w:val="20"/>
        </w:rPr>
        <w:t xml:space="preserve"> Stunting pada </w:t>
      </w:r>
      <w:r>
        <w:rPr>
          <w:rFonts w:ascii="Tw Cen MT" w:cs="Twentieth Century" w:eastAsia="Twentieth Century" w:hAnsi="Tw Cen MT"/>
          <w:iCs/>
          <w:color w:val="000000"/>
          <w:sz w:val="20"/>
          <w:szCs w:val="20"/>
        </w:rPr>
        <w:t>tahun</w:t>
      </w:r>
      <w:r>
        <w:rPr>
          <w:rFonts w:ascii="Tw Cen MT" w:cs="Twentieth Century" w:eastAsia="Twentieth Century" w:hAnsi="Tw Cen MT"/>
          <w:iCs/>
          <w:color w:val="000000"/>
          <w:sz w:val="20"/>
          <w:szCs w:val="20"/>
        </w:rPr>
        <w:t xml:space="preserve"> 2024. Tujuan </w:t>
      </w:r>
      <w:r>
        <w:rPr>
          <w:rFonts w:ascii="Tw Cen MT" w:cs="Twentieth Century" w:eastAsia="Twentieth Century" w:hAnsi="Tw Cen MT"/>
          <w:iCs/>
          <w:color w:val="000000"/>
          <w:sz w:val="20"/>
          <w:szCs w:val="20"/>
        </w:rPr>
        <w:t>penelitian</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ini</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adalah</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untuk</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mengetahui</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hubungan</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koping</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keluarga</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dengan</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kejadian</w:t>
      </w:r>
      <w:r>
        <w:rPr>
          <w:rFonts w:ascii="Tw Cen MT" w:cs="Twentieth Century" w:eastAsia="Twentieth Century" w:hAnsi="Tw Cen MT"/>
          <w:iCs/>
          <w:color w:val="000000"/>
          <w:sz w:val="20"/>
          <w:szCs w:val="20"/>
        </w:rPr>
        <w:t xml:space="preserve"> stunting pada </w:t>
      </w:r>
      <w:r>
        <w:rPr>
          <w:rFonts w:ascii="Tw Cen MT" w:cs="Twentieth Century" w:eastAsia="Twentieth Century" w:hAnsi="Tw Cen MT"/>
          <w:iCs/>
          <w:color w:val="000000"/>
          <w:sz w:val="20"/>
          <w:szCs w:val="20"/>
        </w:rPr>
        <w:t>balita</w:t>
      </w:r>
      <w:r>
        <w:rPr>
          <w:rFonts w:ascii="Tw Cen MT" w:cs="Twentieth Century" w:eastAsia="Twentieth Century" w:hAnsi="Tw Cen MT"/>
          <w:iCs/>
          <w:color w:val="000000"/>
          <w:sz w:val="20"/>
          <w:szCs w:val="20"/>
        </w:rPr>
        <w:t xml:space="preserve">. Teknik </w:t>
      </w:r>
      <w:r>
        <w:rPr>
          <w:rFonts w:ascii="Tw Cen MT" w:cs="Twentieth Century" w:eastAsia="Twentieth Century" w:hAnsi="Tw Cen MT"/>
          <w:iCs/>
          <w:color w:val="000000"/>
          <w:sz w:val="20"/>
          <w:szCs w:val="20"/>
        </w:rPr>
        <w:t>pengambilan</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sampel</w:t>
      </w:r>
      <w:r>
        <w:rPr>
          <w:rFonts w:ascii="Tw Cen MT" w:cs="Twentieth Century" w:eastAsia="Twentieth Century" w:hAnsi="Tw Cen MT"/>
          <w:iCs/>
          <w:color w:val="000000"/>
          <w:sz w:val="20"/>
          <w:szCs w:val="20"/>
        </w:rPr>
        <w:t xml:space="preserve"> pada </w:t>
      </w:r>
      <w:r>
        <w:rPr>
          <w:rFonts w:ascii="Tw Cen MT" w:cs="Twentieth Century" w:eastAsia="Twentieth Century" w:hAnsi="Tw Cen MT"/>
          <w:iCs/>
          <w:color w:val="000000"/>
          <w:sz w:val="20"/>
          <w:szCs w:val="20"/>
        </w:rPr>
        <w:t>penelitian</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ini</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adalah</w:t>
      </w:r>
      <w:r>
        <w:rPr>
          <w:rFonts w:ascii="Tw Cen MT" w:cs="Twentieth Century" w:eastAsia="Twentieth Century" w:hAnsi="Tw Cen MT"/>
          <w:iCs/>
          <w:color w:val="000000"/>
          <w:sz w:val="20"/>
          <w:szCs w:val="20"/>
        </w:rPr>
        <w:t xml:space="preserve"> total </w:t>
      </w:r>
      <w:r>
        <w:rPr>
          <w:rFonts w:ascii="Tw Cen MT" w:cs="Twentieth Century" w:eastAsia="Twentieth Century" w:hAnsi="Tw Cen MT"/>
          <w:iCs/>
          <w:color w:val="000000"/>
          <w:sz w:val="20"/>
          <w:szCs w:val="20"/>
        </w:rPr>
        <w:t>populasi</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 xml:space="preserve">yang </w:t>
      </w:r>
      <w:r>
        <w:rPr>
          <w:rFonts w:ascii="Tw Cen MT" w:cs="Twentieth Century" w:eastAsia="Twentieth Century" w:hAnsi="Tw Cen MT"/>
          <w:iCs/>
          <w:color w:val="000000"/>
          <w:sz w:val="20"/>
          <w:szCs w:val="20"/>
        </w:rPr>
        <w:t>berjumlah</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 xml:space="preserve">89 </w:t>
      </w:r>
      <w:r>
        <w:rPr>
          <w:rFonts w:ascii="Tw Cen MT" w:cs="Twentieth Century" w:eastAsia="Twentieth Century" w:hAnsi="Tw Cen MT"/>
          <w:iCs/>
          <w:color w:val="000000"/>
          <w:sz w:val="20"/>
          <w:szCs w:val="20"/>
        </w:rPr>
        <w:t>keluarga</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dengan</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anak</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balita</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 xml:space="preserve">dan </w:t>
      </w:r>
      <w:r>
        <w:rPr>
          <w:rFonts w:ascii="Tw Cen MT" w:cs="Twentieth Century" w:eastAsia="Twentieth Century" w:hAnsi="Tw Cen MT"/>
          <w:iCs/>
          <w:color w:val="000000"/>
          <w:sz w:val="20"/>
          <w:szCs w:val="20"/>
        </w:rPr>
        <w:t>menggunakan</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tiga</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jenis</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kuesioner</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yaitu</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kuesioner</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karakteristik</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responden</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perhitungan</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tingi</w:t>
      </w:r>
      <w:r>
        <w:rPr>
          <w:rFonts w:ascii="Tw Cen MT" w:cs="Twentieth Century" w:eastAsia="Twentieth Century" w:hAnsi="Tw Cen MT"/>
          <w:iCs/>
          <w:color w:val="000000"/>
          <w:sz w:val="20"/>
          <w:szCs w:val="20"/>
        </w:rPr>
        <w:t xml:space="preserve"> badan </w:t>
      </w:r>
      <w:r>
        <w:rPr>
          <w:rFonts w:ascii="Tw Cen MT" w:cs="Twentieth Century" w:eastAsia="Twentieth Century" w:hAnsi="Tw Cen MT"/>
          <w:iCs/>
          <w:color w:val="000000"/>
          <w:sz w:val="20"/>
          <w:szCs w:val="20"/>
        </w:rPr>
        <w:t>balita</w:t>
      </w:r>
      <w:r>
        <w:rPr>
          <w:rFonts w:ascii="Tw Cen MT" w:cs="Twentieth Century" w:eastAsia="Twentieth Century" w:hAnsi="Tw Cen MT"/>
          <w:iCs/>
          <w:color w:val="000000"/>
          <w:sz w:val="20"/>
          <w:szCs w:val="20"/>
        </w:rPr>
        <w:t xml:space="preserve"> dan </w:t>
      </w:r>
      <w:r>
        <w:rPr>
          <w:rFonts w:ascii="Tw Cen MT" w:cs="Twentieth Century" w:eastAsia="Twentieth Century" w:hAnsi="Tw Cen MT"/>
          <w:iCs/>
          <w:color w:val="000000"/>
          <w:sz w:val="20"/>
          <w:szCs w:val="20"/>
        </w:rPr>
        <w:t>kuesioner</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mekanisme</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koping</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orangtua</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menggunakan</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instrumen</w:t>
      </w:r>
      <w:r>
        <w:rPr>
          <w:rFonts w:ascii="Tw Cen MT" w:cs="Twentieth Century" w:eastAsia="Twentieth Century" w:hAnsi="Tw Cen MT"/>
          <w:iCs/>
          <w:color w:val="000000"/>
          <w:sz w:val="20"/>
          <w:szCs w:val="20"/>
        </w:rPr>
        <w:t xml:space="preserve"> F-</w:t>
      </w:r>
      <w:r>
        <w:rPr>
          <w:rFonts w:ascii="Tw Cen MT" w:cs="Twentieth Century" w:eastAsia="Twentieth Century" w:hAnsi="Tw Cen MT"/>
          <w:iCs/>
          <w:color w:val="000000"/>
          <w:sz w:val="20"/>
          <w:szCs w:val="20"/>
        </w:rPr>
        <w:t xml:space="preserve">COPES </w:t>
      </w:r>
      <w:r>
        <w:rPr>
          <w:rFonts w:ascii="Tw Cen MT" w:cs="Twentieth Century" w:eastAsia="Twentieth Century" w:hAnsi="Tw Cen MT"/>
          <w:iCs/>
          <w:color w:val="000000"/>
          <w:sz w:val="20"/>
          <w:szCs w:val="20"/>
        </w:rPr>
        <w:t>,</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berdasarkan</w:t>
      </w:r>
      <w:r>
        <w:rPr>
          <w:rFonts w:ascii="Tw Cen MT" w:cs="Twentieth Century" w:eastAsia="Twentieth Century" w:hAnsi="Tw Cen MT"/>
          <w:iCs/>
          <w:color w:val="000000"/>
          <w:sz w:val="20"/>
          <w:szCs w:val="20"/>
        </w:rPr>
        <w:t xml:space="preserve"> uji statistic </w:t>
      </w:r>
      <w:r>
        <w:rPr>
          <w:rFonts w:ascii="Tw Cen MT" w:cs="Twentieth Century" w:eastAsia="Twentieth Century" w:hAnsi="Tw Cen MT"/>
          <w:iCs/>
          <w:color w:val="000000"/>
          <w:sz w:val="20"/>
          <w:szCs w:val="20"/>
        </w:rPr>
        <w:t>menggunakan</w:t>
      </w:r>
      <w:r>
        <w:rPr>
          <w:rFonts w:ascii="Tw Cen MT" w:cs="Twentieth Century" w:eastAsia="Twentieth Century" w:hAnsi="Tw Cen MT"/>
          <w:iCs/>
          <w:color w:val="000000"/>
          <w:sz w:val="20"/>
          <w:szCs w:val="20"/>
        </w:rPr>
        <w:t xml:space="preserve"> </w:t>
      </w:r>
      <w:r>
        <w:rPr>
          <w:rFonts w:ascii="Tw Cen MT" w:cs="Twentieth Century" w:eastAsia="Twentieth Century" w:hAnsi="Tw Cen MT"/>
          <w:i/>
          <w:color w:val="000000"/>
          <w:sz w:val="20"/>
          <w:szCs w:val="20"/>
        </w:rPr>
        <w:t>chi square</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didaptkan</w:t>
      </w:r>
      <w:r>
        <w:rPr>
          <w:rFonts w:ascii="Tw Cen MT" w:cs="Twentieth Century" w:eastAsia="Twentieth Century" w:hAnsi="Tw Cen MT"/>
          <w:iCs/>
          <w:color w:val="000000"/>
          <w:sz w:val="20"/>
          <w:szCs w:val="20"/>
        </w:rPr>
        <w:t xml:space="preserve"> p=value 0.282 </w:t>
      </w:r>
      <w:r>
        <w:rPr>
          <w:rFonts w:ascii="Tw Cen MT" w:cs="Twentieth Century" w:eastAsia="Twentieth Century" w:hAnsi="Tw Cen MT"/>
          <w:iCs/>
          <w:color w:val="000000"/>
          <w:sz w:val="20"/>
          <w:szCs w:val="20"/>
        </w:rPr>
        <w:t>artinya</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tidak</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terdapat</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hubungan</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antara</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mekanisme</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koping</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keluarga</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dengan</w:t>
      </w:r>
      <w:r>
        <w:rPr>
          <w:rFonts w:ascii="Tw Cen MT" w:cs="Twentieth Century" w:eastAsia="Twentieth Century" w:hAnsi="Tw Cen MT"/>
          <w:iCs/>
          <w:color w:val="000000"/>
          <w:sz w:val="20"/>
          <w:szCs w:val="20"/>
        </w:rPr>
        <w:t xml:space="preserve"> </w:t>
      </w:r>
      <w:r>
        <w:rPr>
          <w:rFonts w:ascii="Tw Cen MT" w:cs="Twentieth Century" w:eastAsia="Twentieth Century" w:hAnsi="Tw Cen MT"/>
          <w:iCs/>
          <w:color w:val="000000"/>
          <w:sz w:val="20"/>
          <w:szCs w:val="20"/>
        </w:rPr>
        <w:t>kejadian</w:t>
      </w:r>
      <w:r>
        <w:rPr>
          <w:rFonts w:ascii="Tw Cen MT" w:cs="Twentieth Century" w:eastAsia="Twentieth Century" w:hAnsi="Tw Cen MT"/>
          <w:iCs/>
          <w:color w:val="000000"/>
          <w:sz w:val="20"/>
          <w:szCs w:val="20"/>
        </w:rPr>
        <w:t xml:space="preserve"> </w:t>
      </w:r>
      <w:r>
        <w:rPr>
          <w:rFonts w:ascii="Tw Cen MT" w:cs="Twentieth Century" w:eastAsia="Twentieth Century" w:hAnsi="Tw Cen MT"/>
          <w:i/>
          <w:color w:val="000000"/>
          <w:sz w:val="20"/>
          <w:szCs w:val="20"/>
        </w:rPr>
        <w:t>stunting</w:t>
      </w:r>
      <w:r>
        <w:rPr>
          <w:rFonts w:ascii="Tw Cen MT" w:cs="Twentieth Century" w:eastAsia="Twentieth Century" w:hAnsi="Tw Cen MT"/>
          <w:iCs/>
          <w:color w:val="000000"/>
          <w:sz w:val="20"/>
          <w:szCs w:val="20"/>
        </w:rPr>
        <w:t>.</w:t>
      </w:r>
    </w:p>
    <w:p>
      <w:pPr>
        <w:pStyle w:val="style0"/>
        <w:tabs>
          <w:tab w:val="left" w:leader="none" w:pos="426"/>
        </w:tabs>
        <w:spacing w:after="0" w:lineRule="auto" w:line="240"/>
        <w:ind w:left="3150"/>
        <w:jc w:val="both"/>
        <w:rPr>
          <w:rFonts w:ascii="Tw Cen MT" w:cs="Twentieth Century" w:eastAsia="Twentieth Century" w:hAnsi="Tw Cen MT"/>
          <w:iCs/>
          <w:sz w:val="20"/>
          <w:szCs w:val="20"/>
        </w:rPr>
      </w:pPr>
    </w:p>
    <w:p>
      <w:pPr>
        <w:pStyle w:val="style0"/>
        <w:tabs>
          <w:tab w:val="left" w:leader="none" w:pos="426"/>
        </w:tabs>
        <w:spacing w:after="0"/>
        <w:ind w:left="3150"/>
        <w:jc w:val="both"/>
        <w:rPr>
          <w:rFonts w:ascii="Tw Cen MT" w:cs="Twentieth Century" w:eastAsia="Twentieth Century" w:hAnsi="Tw Cen MT"/>
          <w:b/>
          <w:sz w:val="20"/>
          <w:szCs w:val="20"/>
        </w:rPr>
      </w:pPr>
      <w:r>
        <w:rPr>
          <w:rFonts w:ascii="Tw Cen MT" w:cs="Twentieth Century" w:eastAsia="Twentieth Century" w:hAnsi="Tw Cen MT"/>
          <w:b/>
          <w:sz w:val="20"/>
          <w:szCs w:val="20"/>
        </w:rPr>
        <w:t>Kata Kunci</w:t>
      </w:r>
      <w:r>
        <w:rPr>
          <w:rFonts w:ascii="Tw Cen MT" w:cs="Twentieth Century" w:eastAsia="Twentieth Century" w:hAnsi="Tw Cen MT"/>
          <w:b/>
          <w:sz w:val="20"/>
          <w:szCs w:val="20"/>
        </w:rPr>
        <w:t>:</w:t>
      </w:r>
    </w:p>
    <w:p>
      <w:pPr>
        <w:pStyle w:val="style0"/>
        <w:ind w:left="3150"/>
        <w:rPr>
          <w:rFonts w:ascii="Tw Cen MT" w:cs="Twentieth Century" w:eastAsia="Twentieth Century" w:hAnsi="Tw Cen MT"/>
          <w:sz w:val="20"/>
          <w:szCs w:val="20"/>
        </w:rPr>
      </w:pPr>
      <w:r>
        <w:rPr>
          <w:rFonts w:ascii="Tw Cen MT" w:hAnsi="Tw Cen MT"/>
          <w:noProof/>
        </w:rPr>
        <mc:AlternateContent>
          <mc:Choice Requires="wps">
            <w:drawing>
              <wp:anchor distT="0" distB="0" distL="0" distR="0" simplePos="false" relativeHeight="5" behindDoc="false" locked="false" layoutInCell="true" allowOverlap="true">
                <wp:simplePos x="0" y="0"/>
                <wp:positionH relativeFrom="column">
                  <wp:posOffset>-38100</wp:posOffset>
                </wp:positionH>
                <wp:positionV relativeFrom="paragraph">
                  <wp:posOffset>203835</wp:posOffset>
                </wp:positionV>
                <wp:extent cx="5975985" cy="0"/>
                <wp:effectExtent l="0" t="12700" r="18415" b="12700"/>
                <wp:wrapNone/>
                <wp:docPr id="1029" name="Straight Arrow Connector 6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75985" cy="0"/>
                        </a:xfrm>
                        <a:prstGeom prst="straightConnector1"/>
                        <a:ln cmpd="sng" cap="flat" w="19050">
                          <a:solidFill>
                            <a:srgbClr val="000000"/>
                          </a:solidFill>
                          <a:prstDash val="solid"/>
                          <a:round/>
                          <a:headEnd len="sm" w="sm" type="none"/>
                          <a:tailEnd len="sm" w="sm" type="none"/>
                        </a:ln>
                      </wps:spPr>
                      <wps:bodyPr>
                        <a:prstTxWarp prst="textNoShape"/>
                      </wps:bodyPr>
                    </wps:wsp>
                  </a:graphicData>
                </a:graphic>
                <wp14:sizeRelV relativeFrom="margin">
                  <wp14:pctHeight>0</wp14:pctHeight>
                </wp14:sizeRelV>
              </wp:anchor>
            </w:drawing>
          </mc:Choice>
          <mc:Fallback>
            <w:pict>
              <v:shape id="1029" type="#_x0000_t32" filled="f" style="position:absolute;margin-left:-3.0pt;margin-top:16.05pt;width:470.55pt;height:0.0pt;z-index:5;mso-position-horizontal-relative:text;mso-position-vertical-relative:text;mso-height-percent:0;mso-width-relative:page;mso-height-relative:margin;mso-wrap-distance-left:0.0pt;mso-wrap-distance-right:0.0pt;visibility:visible;">
                <v:stroke startarrowwidth="narrow" startarrowlength="short" endarrowwidth="narrow" endarrowlength="short" weight="1.5pt"/>
                <v:fill/>
              </v:shape>
            </w:pict>
          </mc:Fallback>
        </mc:AlternateContent>
      </w:r>
      <w:r>
        <w:rPr>
          <w:rFonts w:ascii="Tw Cen MT" w:cs="Twentieth Century" w:eastAsia="Twentieth Century" w:hAnsi="Tw Cen MT"/>
          <w:sz w:val="20"/>
          <w:szCs w:val="20"/>
        </w:rPr>
        <w:t xml:space="preserve"> </w:t>
      </w:r>
      <w:r>
        <w:rPr>
          <w:rFonts w:ascii="Tw Cen MT" w:cs="Twentieth Century" w:eastAsia="Twentieth Century" w:hAnsi="Tw Cen MT"/>
          <w:sz w:val="20"/>
          <w:szCs w:val="20"/>
        </w:rPr>
        <w:t>Koping</w:t>
      </w:r>
      <w:r>
        <w:rPr>
          <w:rFonts w:ascii="Tw Cen MT" w:cs="Twentieth Century" w:eastAsia="Twentieth Century" w:hAnsi="Tw Cen MT"/>
          <w:sz w:val="20"/>
          <w:szCs w:val="20"/>
        </w:rPr>
        <w:t xml:space="preserve">, </w:t>
      </w:r>
      <w:r>
        <w:rPr>
          <w:rFonts w:ascii="Tw Cen MT" w:cs="Twentieth Century" w:eastAsia="Twentieth Century" w:hAnsi="Tw Cen MT"/>
          <w:sz w:val="20"/>
          <w:szCs w:val="20"/>
        </w:rPr>
        <w:t>keluarga</w:t>
      </w:r>
      <w:r>
        <w:rPr>
          <w:rFonts w:ascii="Tw Cen MT" w:cs="Twentieth Century" w:eastAsia="Twentieth Century" w:hAnsi="Tw Cen MT"/>
          <w:sz w:val="20"/>
          <w:szCs w:val="20"/>
        </w:rPr>
        <w:t xml:space="preserve">, </w:t>
      </w:r>
      <w:r>
        <w:rPr>
          <w:rFonts w:ascii="Tw Cen MT" w:cs="Twentieth Century" w:eastAsia="Twentieth Century" w:hAnsi="Tw Cen MT"/>
          <w:sz w:val="20"/>
          <w:szCs w:val="20"/>
        </w:rPr>
        <w:t>stunting</w:t>
      </w:r>
    </w:p>
    <w:p>
      <w:pPr>
        <w:pStyle w:val="style0"/>
        <w:rPr>
          <w:rFonts w:ascii="Tw Cen MT" w:cs="Twentieth Century" w:eastAsia="Twentieth Century" w:hAnsi="Tw Cen MT"/>
          <w:sz w:val="20"/>
          <w:szCs w:val="20"/>
        </w:rPr>
        <w:sectPr>
          <w:headerReference w:type="default" r:id="rId5"/>
          <w:footerReference w:type="default" r:id="rId6"/>
          <w:pgSz w:w="12240" w:h="15840" w:orient="portrait"/>
          <w:pgMar w:top="1440" w:right="1440" w:bottom="1440" w:left="1440" w:header="720" w:footer="720" w:gutter="0"/>
          <w:pgNumType w:start="1"/>
          <w:cols w:space="720"/>
        </w:sectPr>
      </w:pPr>
    </w:p>
    <w:p>
      <w:pPr>
        <w:pStyle w:val="style0"/>
        <w:tabs>
          <w:tab w:val="left" w:leader="none" w:pos="426"/>
        </w:tabs>
        <w:spacing w:after="0" w:lineRule="auto" w:line="240"/>
        <w:jc w:val="both"/>
        <w:rPr>
          <w:rFonts w:ascii="Tw Cen MT" w:cs="Twentieth Century" w:eastAsia="Twentieth Century" w:hAnsi="Tw Cen MT"/>
          <w:b/>
          <w:sz w:val="24"/>
          <w:szCs w:val="24"/>
        </w:rPr>
      </w:pPr>
      <w:r>
        <w:rPr>
          <w:rFonts w:ascii="Tw Cen MT" w:cs="Twentieth Century" w:eastAsia="Twentieth Century" w:hAnsi="Tw Cen MT"/>
          <w:b/>
          <w:sz w:val="24"/>
          <w:szCs w:val="24"/>
        </w:rPr>
        <w:t>PENDAHULUAN</w:t>
      </w:r>
    </w:p>
    <w:p>
      <w:pPr>
        <w:pStyle w:val="style66"/>
        <w:ind w:right="594" w:firstLine="591"/>
        <w:rPr/>
      </w:pPr>
      <w:r>
        <w:rPr>
          <w:i/>
          <w:iCs/>
        </w:rPr>
        <w:t>Stunting</w:t>
      </w:r>
      <w:r>
        <w:t xml:space="preserve"> masih menjadi </w:t>
      </w:r>
      <w:r>
        <w:t>masalah kesehatan masyarakat di banyak negara, terutama di negara-</w:t>
      </w:r>
      <w:r>
        <w:t>negara berkembang. Di Indonesia, menurut data dari Riskesdas (</w:t>
      </w:r>
      <w:commentRangeStart w:id="3"/>
      <w:r>
        <w:t>Riset</w:t>
      </w:r>
      <w:commentRangeEnd w:id="3"/>
      <w:r>
        <w:rPr/>
        <w:commentReference w:id="3"/>
      </w:r>
      <w:r>
        <w:t xml:space="preserve"> Kesehatan Dasar) tahun 2018, diperkirakan terdapat sekitar 27,7% anak di bawah usia lima tahun yang mengalami </w:t>
      </w:r>
      <w:r>
        <w:rPr>
          <w:i/>
          <w:iCs/>
        </w:rPr>
        <w:t>Stunting</w:t>
      </w:r>
      <w:r>
        <w:t xml:space="preserve">. </w:t>
      </w:r>
      <w:r>
        <w:t>Indonesia dan negara berkembang lainnya telah melakukan berbagai upaya dalam</w:t>
      </w:r>
      <w:r>
        <w:t xml:space="preserve"> </w:t>
      </w:r>
      <w:r>
        <w:t xml:space="preserve">rangka percepatan penurunan prevalensi </w:t>
      </w:r>
      <w:r>
        <w:rPr>
          <w:i/>
          <w:iCs/>
        </w:rPr>
        <w:t>Stunting</w:t>
      </w:r>
      <w:r>
        <w:t xml:space="preserve">. </w:t>
      </w:r>
    </w:p>
    <w:p>
      <w:pPr>
        <w:pStyle w:val="style66"/>
        <w:ind w:right="594" w:firstLine="591"/>
        <w:rPr>
          <w:color w:val="444444"/>
          <w:lang w:val="en-US"/>
        </w:rPr>
      </w:pPr>
      <w:r>
        <w:t xml:space="preserve">Penyebab </w:t>
      </w:r>
      <w:r>
        <w:rPr>
          <w:i/>
        </w:rPr>
        <w:t>stunted</w:t>
      </w:r>
      <w:r>
        <w:rPr>
          <w:i/>
          <w:spacing w:val="40"/>
        </w:rPr>
        <w:t xml:space="preserve"> </w:t>
      </w:r>
      <w:r>
        <w:t xml:space="preserve">terdiri dari berbagai faktor yang saling terkait </w:t>
      </w:r>
      <w:r>
        <w:rPr>
          <w:lang w:val="en-US"/>
        </w:rPr>
        <w:t xml:space="preserve">dan </w:t>
      </w:r>
      <w:r>
        <w:t xml:space="preserve">bukan hanya karena faktor asupan gizi yang buruk saja, </w:t>
      </w:r>
      <w:r>
        <w:rPr>
          <w:lang w:val="en-US"/>
        </w:rPr>
        <w:t>namun</w:t>
      </w:r>
      <w:r>
        <w:rPr>
          <w:lang w:val="en-US"/>
        </w:rPr>
        <w:t xml:space="preserve"> </w:t>
      </w:r>
      <w:r>
        <w:t>faktor keluarga</w:t>
      </w:r>
      <w:r>
        <w:rPr>
          <w:lang w:val="en-US"/>
        </w:rPr>
        <w:t xml:space="preserve"> juga </w:t>
      </w:r>
      <w:r>
        <w:rPr>
          <w:lang w:val="en-US"/>
        </w:rPr>
        <w:t>tidak</w:t>
      </w:r>
      <w:r>
        <w:rPr>
          <w:lang w:val="en-US"/>
        </w:rPr>
        <w:t xml:space="preserve"> </w:t>
      </w:r>
      <w:r>
        <w:rPr>
          <w:lang w:val="en-US"/>
        </w:rPr>
        <w:t>bisa</w:t>
      </w:r>
      <w:r>
        <w:rPr>
          <w:lang w:val="en-US"/>
        </w:rPr>
        <w:t xml:space="preserve"> </w:t>
      </w:r>
      <w:r>
        <w:rPr>
          <w:lang w:val="en-US"/>
        </w:rPr>
        <w:t>diabaikan</w:t>
      </w:r>
      <w:r>
        <w:rPr>
          <w:color w:val="444444"/>
        </w:rPr>
        <w:t>. Peran orang tua sangatlah penting dalam menyediakan kebutuhan anak demi tercapainya tumbuh kembang yang baik. Peran orang tua dan keluarga sangat d</w:t>
      </w:r>
      <w:r>
        <w:rPr>
          <w:color w:val="444444"/>
          <w:lang w:val="en-US"/>
        </w:rPr>
        <w:t>ibutuhkan</w:t>
      </w:r>
      <w:r>
        <w:rPr>
          <w:color w:val="444444"/>
          <w:lang w:val="en-US"/>
        </w:rPr>
        <w:t xml:space="preserve"> </w:t>
      </w:r>
      <w:r>
        <w:rPr>
          <w:color w:val="444444"/>
        </w:rPr>
        <w:t>agar anak dapat hidup secara optimal walaupun ada masalah pada kondisi kesehatannya.</w:t>
      </w:r>
      <w:r>
        <w:rPr>
          <w:color w:val="444444"/>
          <w:lang w:val="en-US"/>
        </w:rPr>
        <w:t xml:space="preserve"> </w:t>
      </w:r>
      <w:r>
        <w:rPr>
          <w:color w:val="444444"/>
        </w:rPr>
        <w:t>Strategi koping keluarga yang positif sangat diperlukan dalam hal pemecahan suatu masalah, termasuk masalah kesehatan pada keluarga. Tanpa terlaksananya mekanisme koping keluarga yang efektif, maka fungsi keluarga juga tidak</w:t>
      </w:r>
      <w:r>
        <w:rPr>
          <w:color w:val="444444"/>
          <w:spacing w:val="80"/>
        </w:rPr>
        <w:t xml:space="preserve"> </w:t>
      </w:r>
      <w:r>
        <w:rPr>
          <w:color w:val="444444"/>
        </w:rPr>
        <w:t xml:space="preserve">akan dapat dicapai secara adekuat. Kejadian </w:t>
      </w:r>
      <w:r>
        <w:rPr>
          <w:i/>
          <w:iCs/>
          <w:color w:val="444444"/>
        </w:rPr>
        <w:t>Stunting</w:t>
      </w:r>
      <w:r>
        <w:rPr>
          <w:color w:val="444444"/>
        </w:rPr>
        <w:t xml:space="preserve"> pada balita juga erat kaitannya dengan keberlangsungan pelaksanaan fungsi keluarga. Faktor keluarga merupakan faktor penting dalam mencegah malnutrisi pada anak. Keberfungsian keluarga sangat diperlukan untuk menyejahterakan anggota keluarga, termasuk dalam pemenuhan gizi anak. Peran serta orang tua yang optimal diperlukan agar anak dapat mencapai derajat kesehatan yang optimal. Oleh karena itu kajian strategi koping keluarga terkait kejadian </w:t>
      </w:r>
      <w:r>
        <w:rPr>
          <w:i/>
          <w:iCs/>
          <w:color w:val="444444"/>
        </w:rPr>
        <w:t>Stunting</w:t>
      </w:r>
      <w:r>
        <w:rPr>
          <w:color w:val="444444"/>
        </w:rPr>
        <w:t xml:space="preserve"> pada balita diperlukan kajian lebih dalam lagi, sehingga penelitian ini akan menganalisis mengenai hubungan strategi koping keluarga dengan kejadian </w:t>
      </w:r>
      <w:r>
        <w:rPr>
          <w:i/>
          <w:iCs/>
          <w:color w:val="444444"/>
        </w:rPr>
        <w:t>Stunting</w:t>
      </w:r>
      <w:r>
        <w:rPr>
          <w:color w:val="444444"/>
        </w:rPr>
        <w:t xml:space="preserve"> </w:t>
      </w:r>
    </w:p>
    <w:p>
      <w:pPr>
        <w:pStyle w:val="style0"/>
        <w:spacing w:after="0" w:lineRule="auto" w:line="240"/>
        <w:jc w:val="both"/>
        <w:rPr>
          <w:rFonts w:ascii="Tw Cen MT" w:cs="Twentieth Century" w:eastAsia="Twentieth Century" w:hAnsi="Tw Cen MT"/>
          <w:color w:val="000000"/>
          <w:sz w:val="24"/>
          <w:szCs w:val="24"/>
        </w:rPr>
      </w:pPr>
      <w:r>
        <w:rPr>
          <w:rFonts w:ascii="Tw Cen MT" w:cs="Twentieth Century" w:eastAsia="Twentieth Century" w:hAnsi="Tw Cen MT"/>
          <w:color w:val="000000"/>
          <w:sz w:val="24"/>
          <w:szCs w:val="24"/>
        </w:rPr>
        <w:t>].</w:t>
      </w:r>
      <w:r>
        <w:rPr>
          <w:rFonts w:ascii="Tw Cen MT" w:cs="Twentieth Century" w:eastAsia="Twentieth Century" w:hAnsi="Tw Cen MT"/>
          <w:color w:val="000000"/>
          <w:sz w:val="24"/>
          <w:szCs w:val="24"/>
        </w:rPr>
        <w:t xml:space="preserve"> </w:t>
      </w:r>
    </w:p>
    <w:p>
      <w:pPr>
        <w:pStyle w:val="style0"/>
        <w:spacing w:after="0" w:lineRule="auto" w:line="240"/>
        <w:jc w:val="both"/>
        <w:rPr>
          <w:rFonts w:ascii="Tw Cen MT" w:cs="Twentieth Century" w:eastAsia="Twentieth Century" w:hAnsi="Tw Cen MT"/>
          <w:color w:val="000000"/>
          <w:sz w:val="24"/>
          <w:szCs w:val="24"/>
        </w:rPr>
      </w:pPr>
    </w:p>
    <w:p>
      <w:pPr>
        <w:pStyle w:val="style0"/>
        <w:spacing w:after="0" w:lineRule="auto" w:line="240"/>
        <w:jc w:val="both"/>
        <w:rPr>
          <w:rFonts w:ascii="Tw Cen MT" w:cs="Twentieth Century" w:eastAsia="Twentieth Century" w:hAnsi="Tw Cen MT"/>
          <w:b/>
          <w:sz w:val="24"/>
          <w:szCs w:val="24"/>
        </w:rPr>
      </w:pPr>
      <w:r>
        <w:rPr>
          <w:rFonts w:ascii="Tw Cen MT" w:cs="Twentieth Century" w:eastAsia="Twentieth Century" w:hAnsi="Tw Cen MT"/>
          <w:b/>
          <w:sz w:val="24"/>
          <w:szCs w:val="24"/>
        </w:rPr>
        <w:t xml:space="preserve">METODE </w:t>
      </w:r>
    </w:p>
    <w:p>
      <w:pPr>
        <w:pStyle w:val="style66"/>
        <w:ind w:right="594" w:firstLine="591"/>
        <w:rPr>
          <w:color w:val="444444"/>
        </w:rPr>
      </w:pPr>
      <w:r>
        <w:t xml:space="preserve">Penelitian ini bertujuan untuk mengetahui hubungan koping keluarga dengan balita </w:t>
      </w:r>
      <w:r>
        <w:rPr>
          <w:i/>
          <w:iCs/>
        </w:rPr>
        <w:t>Stunting</w:t>
      </w:r>
      <w:r>
        <w:rPr>
          <w:i/>
        </w:rPr>
        <w:t xml:space="preserve"> </w:t>
      </w:r>
      <w:r>
        <w:rPr>
          <w:color w:val="444444"/>
        </w:rPr>
        <w:t>di wilayah kerja Puskesmas Pekan Heran Kabupaten Indragiri Hulu</w:t>
      </w:r>
      <w:r>
        <w:t>.</w:t>
      </w:r>
      <w:r>
        <w:rPr>
          <w:lang w:val="en-US"/>
        </w:rPr>
        <w:t xml:space="preserve"> </w:t>
      </w:r>
      <w:r>
        <w:rPr>
          <w:lang w:val="en-US"/>
        </w:rPr>
        <w:t>Berdasarkan</w:t>
      </w:r>
      <w:r>
        <w:rPr>
          <w:lang w:val="en-US"/>
        </w:rPr>
        <w:t xml:space="preserve"> data Dinas Kesehatan </w:t>
      </w:r>
      <w:r>
        <w:rPr>
          <w:lang w:val="en-US"/>
        </w:rPr>
        <w:t>Kabupaten</w:t>
      </w:r>
      <w:r>
        <w:rPr>
          <w:lang w:val="en-US"/>
        </w:rPr>
        <w:t xml:space="preserve"> </w:t>
      </w:r>
      <w:r>
        <w:rPr>
          <w:lang w:val="en-US"/>
        </w:rPr>
        <w:t>Inragiri</w:t>
      </w:r>
      <w:r>
        <w:rPr>
          <w:lang w:val="en-US"/>
        </w:rPr>
        <w:t xml:space="preserve"> Hulu </w:t>
      </w:r>
      <w:r>
        <w:rPr>
          <w:lang w:val="en-US"/>
        </w:rPr>
        <w:t>ditetapkan</w:t>
      </w:r>
      <w:r>
        <w:rPr>
          <w:lang w:val="en-US"/>
        </w:rPr>
        <w:t xml:space="preserve"> </w:t>
      </w:r>
      <w:r>
        <w:rPr>
          <w:lang w:val="en-US"/>
        </w:rPr>
        <w:t>bahwa</w:t>
      </w:r>
      <w:r>
        <w:rPr>
          <w:lang w:val="en-US"/>
        </w:rPr>
        <w:t xml:space="preserve"> Desa Sungai </w:t>
      </w:r>
      <w:r>
        <w:rPr>
          <w:lang w:val="en-US"/>
        </w:rPr>
        <w:t>Jernih</w:t>
      </w:r>
      <w:r>
        <w:rPr>
          <w:lang w:val="en-US"/>
        </w:rPr>
        <w:t xml:space="preserve"> </w:t>
      </w:r>
      <w:r>
        <w:rPr>
          <w:lang w:val="en-US"/>
        </w:rPr>
        <w:t>merupakan</w:t>
      </w:r>
      <w:r>
        <w:rPr>
          <w:lang w:val="en-US"/>
        </w:rPr>
        <w:t xml:space="preserve"> </w:t>
      </w:r>
      <w:r>
        <w:rPr>
          <w:lang w:val="en-US"/>
        </w:rPr>
        <w:t>merupakan</w:t>
      </w:r>
      <w:r>
        <w:rPr>
          <w:lang w:val="en-US"/>
        </w:rPr>
        <w:t xml:space="preserve"> Desa </w:t>
      </w:r>
      <w:r>
        <w:rPr>
          <w:lang w:val="en-US"/>
        </w:rPr>
        <w:t>Lokus</w:t>
      </w:r>
      <w:r>
        <w:rPr>
          <w:lang w:val="en-US"/>
        </w:rPr>
        <w:t xml:space="preserve"> </w:t>
      </w:r>
      <w:r>
        <w:rPr>
          <w:i/>
          <w:iCs/>
          <w:lang w:val="en-US"/>
        </w:rPr>
        <w:t xml:space="preserve">Stunting </w:t>
      </w:r>
      <w:r>
        <w:rPr>
          <w:lang w:val="en-US"/>
        </w:rPr>
        <w:t>untuk</w:t>
      </w:r>
      <w:r>
        <w:rPr>
          <w:lang w:val="en-US"/>
        </w:rPr>
        <w:t xml:space="preserve"> </w:t>
      </w:r>
      <w:r>
        <w:rPr>
          <w:lang w:val="en-US"/>
        </w:rPr>
        <w:t>kecamatan</w:t>
      </w:r>
      <w:r>
        <w:rPr>
          <w:lang w:val="en-US"/>
        </w:rPr>
        <w:t xml:space="preserve"> </w:t>
      </w:r>
      <w:r>
        <w:rPr>
          <w:lang w:val="en-US"/>
        </w:rPr>
        <w:t>Rengat</w:t>
      </w:r>
      <w:r>
        <w:rPr>
          <w:lang w:val="en-US"/>
        </w:rPr>
        <w:t xml:space="preserve"> Barat </w:t>
      </w:r>
      <w:r>
        <w:rPr>
          <w:lang w:val="en-US"/>
        </w:rPr>
        <w:t>Tahun</w:t>
      </w:r>
      <w:r>
        <w:rPr>
          <w:lang w:val="en-US"/>
        </w:rPr>
        <w:t xml:space="preserve"> 2024</w:t>
      </w:r>
      <w:r>
        <w:rPr>
          <w:i/>
          <w:iCs/>
          <w:lang w:val="en-US"/>
        </w:rPr>
        <w:t xml:space="preserve">. </w:t>
      </w:r>
      <w:r>
        <w:rPr>
          <w:color w:val="444444"/>
        </w:rPr>
        <w:t xml:space="preserve">Teknik pengambilan sampel menggunakan </w:t>
      </w:r>
      <w:r>
        <w:rPr>
          <w:color w:val="444444"/>
          <w:lang w:val="en-US"/>
        </w:rPr>
        <w:t>teknik</w:t>
      </w:r>
      <w:r>
        <w:rPr>
          <w:color w:val="444444"/>
          <w:lang w:val="en-US"/>
        </w:rPr>
        <w:t xml:space="preserve"> total </w:t>
      </w:r>
      <w:r>
        <w:rPr>
          <w:color w:val="444444"/>
          <w:lang w:val="en-US"/>
        </w:rPr>
        <w:t>populasi</w:t>
      </w:r>
      <w:r>
        <w:rPr>
          <w:color w:val="444444"/>
          <w:lang w:val="en-US"/>
        </w:rPr>
        <w:t xml:space="preserve"> </w:t>
      </w:r>
      <w:r>
        <w:rPr>
          <w:color w:val="444444"/>
          <w:lang w:val="en-US"/>
        </w:rPr>
        <w:t>artinya</w:t>
      </w:r>
      <w:r>
        <w:rPr>
          <w:color w:val="444444"/>
          <w:lang w:val="en-US"/>
        </w:rPr>
        <w:t xml:space="preserve"> </w:t>
      </w:r>
      <w:r>
        <w:rPr>
          <w:color w:val="444444"/>
          <w:lang w:val="en-US"/>
        </w:rPr>
        <w:t>seluruh</w:t>
      </w:r>
      <w:r>
        <w:rPr>
          <w:color w:val="444444"/>
          <w:lang w:val="en-US"/>
        </w:rPr>
        <w:t xml:space="preserve"> </w:t>
      </w:r>
      <w:r>
        <w:rPr>
          <w:color w:val="444444"/>
          <w:lang w:val="en-US"/>
        </w:rPr>
        <w:t>keluarga</w:t>
      </w:r>
      <w:r>
        <w:rPr>
          <w:color w:val="444444"/>
          <w:lang w:val="en-US"/>
        </w:rPr>
        <w:t xml:space="preserve"> yang </w:t>
      </w:r>
      <w:r>
        <w:rPr>
          <w:color w:val="444444"/>
          <w:lang w:val="en-US"/>
        </w:rPr>
        <w:t>memiliki</w:t>
      </w:r>
      <w:r>
        <w:rPr>
          <w:color w:val="444444"/>
          <w:lang w:val="en-US"/>
        </w:rPr>
        <w:t xml:space="preserve"> </w:t>
      </w:r>
      <w:r>
        <w:rPr>
          <w:color w:val="444444"/>
          <w:lang w:val="en-US"/>
        </w:rPr>
        <w:t>anak</w:t>
      </w:r>
      <w:r>
        <w:rPr>
          <w:color w:val="444444"/>
          <w:lang w:val="en-US"/>
        </w:rPr>
        <w:t xml:space="preserve"> </w:t>
      </w:r>
      <w:r>
        <w:rPr>
          <w:color w:val="444444"/>
          <w:lang w:val="en-US"/>
        </w:rPr>
        <w:t>balita</w:t>
      </w:r>
      <w:r>
        <w:rPr>
          <w:color w:val="444444"/>
          <w:lang w:val="en-US"/>
        </w:rPr>
        <w:t xml:space="preserve"> yang </w:t>
      </w:r>
      <w:r>
        <w:rPr>
          <w:color w:val="444444"/>
          <w:lang w:val="en-US"/>
        </w:rPr>
        <w:t>berjumlah</w:t>
      </w:r>
      <w:r>
        <w:rPr>
          <w:color w:val="444444"/>
          <w:lang w:val="en-US"/>
        </w:rPr>
        <w:t xml:space="preserve"> </w:t>
      </w:r>
      <w:r>
        <w:rPr>
          <w:color w:val="444444"/>
        </w:rPr>
        <w:t>sebanyak</w:t>
      </w:r>
      <w:r>
        <w:rPr>
          <w:color w:val="444444"/>
          <w:spacing w:val="56"/>
        </w:rPr>
        <w:t xml:space="preserve"> </w:t>
      </w:r>
      <w:r>
        <w:rPr>
          <w:color w:val="444444"/>
          <w:lang w:val="en-US"/>
        </w:rPr>
        <w:t>89</w:t>
      </w:r>
      <w:r>
        <w:rPr>
          <w:color w:val="444444"/>
          <w:spacing w:val="56"/>
          <w:lang w:val="en-US"/>
        </w:rPr>
        <w:t xml:space="preserve"> </w:t>
      </w:r>
      <w:r>
        <w:rPr>
          <w:color w:val="444444"/>
          <w:lang w:val="en-US"/>
        </w:rPr>
        <w:t xml:space="preserve">orang </w:t>
      </w:r>
      <w:r>
        <w:rPr>
          <w:color w:val="444444"/>
          <w:lang w:val="en-US"/>
        </w:rPr>
        <w:t>seluruhnya</w:t>
      </w:r>
      <w:r>
        <w:rPr>
          <w:color w:val="444444"/>
          <w:lang w:val="en-US"/>
        </w:rPr>
        <w:t xml:space="preserve"> </w:t>
      </w:r>
      <w:r>
        <w:rPr>
          <w:color w:val="444444"/>
          <w:lang w:val="en-US"/>
        </w:rPr>
        <w:t>dijadikan</w:t>
      </w:r>
      <w:r>
        <w:rPr>
          <w:color w:val="444444"/>
          <w:lang w:val="en-US"/>
        </w:rPr>
        <w:t xml:space="preserve"> r</w:t>
      </w:r>
      <w:r>
        <w:rPr>
          <w:color w:val="444444"/>
        </w:rPr>
        <w:t>esponden</w:t>
      </w:r>
      <w:r>
        <w:rPr>
          <w:color w:val="444444"/>
          <w:lang w:val="en-US"/>
        </w:rPr>
        <w:t xml:space="preserve"> pada </w:t>
      </w:r>
      <w:r>
        <w:rPr>
          <w:color w:val="444444"/>
          <w:lang w:val="en-US"/>
        </w:rPr>
        <w:t>penelitian</w:t>
      </w:r>
      <w:r>
        <w:rPr>
          <w:color w:val="444444"/>
          <w:lang w:val="en-US"/>
        </w:rPr>
        <w:t xml:space="preserve"> </w:t>
      </w:r>
      <w:r>
        <w:rPr>
          <w:color w:val="444444"/>
          <w:lang w:val="en-US"/>
        </w:rPr>
        <w:t>ini</w:t>
      </w:r>
      <w:r>
        <w:rPr>
          <w:color w:val="444444"/>
          <w:lang w:val="en-US"/>
        </w:rPr>
        <w:t>.</w:t>
      </w:r>
      <w:r>
        <w:rPr>
          <w:color w:val="444444"/>
          <w:spacing w:val="56"/>
        </w:rPr>
        <w:t xml:space="preserve"> </w:t>
      </w:r>
      <w:r>
        <w:rPr>
          <w:color w:val="444444"/>
        </w:rPr>
        <w:t>Penelitian</w:t>
      </w:r>
      <w:r>
        <w:rPr>
          <w:color w:val="444444"/>
          <w:spacing w:val="52"/>
        </w:rPr>
        <w:t xml:space="preserve"> </w:t>
      </w:r>
      <w:r>
        <w:rPr>
          <w:color w:val="444444"/>
        </w:rPr>
        <w:t>ini</w:t>
      </w:r>
      <w:r>
        <w:rPr>
          <w:color w:val="444444"/>
          <w:spacing w:val="53"/>
        </w:rPr>
        <w:t xml:space="preserve"> </w:t>
      </w:r>
      <w:r>
        <w:rPr>
          <w:color w:val="444444"/>
        </w:rPr>
        <w:t>menggunakan</w:t>
      </w:r>
      <w:r>
        <w:rPr>
          <w:color w:val="444444"/>
          <w:spacing w:val="56"/>
        </w:rPr>
        <w:t xml:space="preserve"> </w:t>
      </w:r>
      <w:r>
        <w:rPr>
          <w:color w:val="444444"/>
        </w:rPr>
        <w:t>tiga</w:t>
      </w:r>
      <w:r>
        <w:rPr>
          <w:color w:val="444444"/>
          <w:spacing w:val="57"/>
        </w:rPr>
        <w:t xml:space="preserve"> </w:t>
      </w:r>
      <w:r>
        <w:rPr>
          <w:color w:val="444444"/>
        </w:rPr>
        <w:t>jenis</w:t>
      </w:r>
      <w:r>
        <w:rPr>
          <w:color w:val="444444"/>
          <w:spacing w:val="55"/>
        </w:rPr>
        <w:t xml:space="preserve"> </w:t>
      </w:r>
      <w:r>
        <w:rPr>
          <w:color w:val="444444"/>
        </w:rPr>
        <w:t>kuesioner,</w:t>
      </w:r>
      <w:r>
        <w:rPr>
          <w:color w:val="444444"/>
          <w:spacing w:val="57"/>
        </w:rPr>
        <w:t xml:space="preserve"> </w:t>
      </w:r>
      <w:r>
        <w:rPr>
          <w:color w:val="444444"/>
          <w:spacing w:val="-2"/>
        </w:rPr>
        <w:t>yaitu</w:t>
      </w:r>
      <w:r>
        <w:rPr>
          <w:color w:val="444444"/>
          <w:spacing w:val="-2"/>
          <w:lang w:val="en-US"/>
        </w:rPr>
        <w:t xml:space="preserve"> </w:t>
      </w:r>
      <w:r>
        <w:rPr>
          <w:color w:val="444444"/>
        </w:rPr>
        <w:t>kuesioner karakteristik responden, perhitungan tingi badan balita dan kuesioner mekanisme koping orangtua menggunakan instrumen F-COPES (Family Crisis Oriented Evaluation Scale).</w:t>
      </w:r>
    </w:p>
    <w:p>
      <w:pPr>
        <w:pStyle w:val="style0"/>
        <w:tabs>
          <w:tab w:val="left" w:leader="none" w:pos="426"/>
        </w:tabs>
        <w:spacing w:after="0" w:lineRule="auto" w:line="240"/>
        <w:jc w:val="both"/>
        <w:rPr>
          <w:rFonts w:ascii="Tw Cen MT" w:cs="Twentieth Century" w:eastAsia="Twentieth Century" w:hAnsi="Tw Cen MT"/>
          <w:sz w:val="24"/>
          <w:szCs w:val="24"/>
        </w:rPr>
      </w:pPr>
      <w:r>
        <w:rPr>
          <w:rFonts w:ascii="Tw Cen MT" w:cs="Twentieth Century" w:eastAsia="Twentieth Century" w:hAnsi="Tw Cen MT"/>
          <w:sz w:val="24"/>
          <w:szCs w:val="24"/>
        </w:rPr>
        <w:t>.</w:t>
      </w:r>
    </w:p>
    <w:p>
      <w:pPr>
        <w:pStyle w:val="style0"/>
        <w:tabs>
          <w:tab w:val="left" w:leader="none" w:pos="426"/>
        </w:tabs>
        <w:spacing w:after="0"/>
        <w:jc w:val="both"/>
        <w:rPr>
          <w:rFonts w:ascii="Tw Cen MT" w:cs="Twentieth Century" w:eastAsia="Twentieth Century" w:hAnsi="Tw Cen MT"/>
          <w:sz w:val="24"/>
          <w:szCs w:val="24"/>
        </w:rPr>
      </w:pPr>
    </w:p>
    <w:p>
      <w:pPr>
        <w:pStyle w:val="style0"/>
        <w:tabs>
          <w:tab w:val="left" w:leader="none" w:pos="426"/>
        </w:tabs>
        <w:spacing w:after="0"/>
        <w:jc w:val="both"/>
        <w:rPr>
          <w:rFonts w:ascii="Tw Cen MT" w:cs="Twentieth Century" w:eastAsia="Twentieth Century" w:hAnsi="Tw Cen MT"/>
          <w:sz w:val="24"/>
          <w:szCs w:val="24"/>
        </w:rPr>
      </w:pPr>
    </w:p>
    <w:p>
      <w:pPr>
        <w:pStyle w:val="style0"/>
        <w:tabs>
          <w:tab w:val="left" w:leader="none" w:pos="426"/>
        </w:tabs>
        <w:spacing w:after="0"/>
        <w:jc w:val="both"/>
        <w:rPr>
          <w:rFonts w:ascii="Tw Cen MT" w:cs="Twentieth Century" w:eastAsia="Twentieth Century" w:hAnsi="Tw Cen MT"/>
          <w:sz w:val="24"/>
          <w:szCs w:val="24"/>
        </w:rPr>
      </w:pPr>
    </w:p>
    <w:p>
      <w:pPr>
        <w:pStyle w:val="style0"/>
        <w:tabs>
          <w:tab w:val="left" w:leader="none" w:pos="426"/>
        </w:tabs>
        <w:spacing w:after="0"/>
        <w:jc w:val="both"/>
        <w:rPr>
          <w:rFonts w:ascii="Tw Cen MT" w:cs="Twentieth Century" w:eastAsia="Twentieth Century" w:hAnsi="Tw Cen MT"/>
          <w:b/>
          <w:sz w:val="24"/>
          <w:szCs w:val="24"/>
        </w:rPr>
      </w:pPr>
      <w:r>
        <w:rPr>
          <w:rFonts w:ascii="Tw Cen MT" w:cs="Twentieth Century" w:eastAsia="Twentieth Century" w:hAnsi="Tw Cen MT"/>
          <w:b/>
          <w:sz w:val="24"/>
          <w:szCs w:val="24"/>
        </w:rPr>
        <w:t>HASIL DAN PEMBAHASAN</w:t>
      </w:r>
    </w:p>
    <w:p>
      <w:pPr>
        <w:pStyle w:val="style0"/>
        <w:jc w:val="both"/>
        <w:rPr>
          <w:rFonts w:ascii="Tw Cen MT" w:cs="Times New Roman" w:hAnsi="Tw Cen MT"/>
          <w:sz w:val="24"/>
          <w:szCs w:val="24"/>
        </w:rPr>
      </w:pPr>
      <w:r>
        <w:rPr>
          <w:rFonts w:ascii="Tw Cen MT" w:cs="Twentieth Century" w:eastAsia="Twentieth Century" w:hAnsi="Tw Cen MT"/>
          <w:sz w:val="24"/>
          <w:szCs w:val="24"/>
        </w:rPr>
        <w:t>P</w:t>
      </w:r>
      <w:r>
        <w:rPr>
          <w:rFonts w:ascii="Tw Cen MT" w:cs="Twentieth Century" w:eastAsia="Twentieth Century" w:hAnsi="Tw Cen MT"/>
          <w:sz w:val="24"/>
          <w:szCs w:val="24"/>
        </w:rPr>
        <w:t>enelitian</w:t>
      </w:r>
      <w:r>
        <w:rPr>
          <w:rFonts w:ascii="Tw Cen MT" w:cs="Twentieth Century" w:eastAsia="Twentieth Century" w:hAnsi="Tw Cen MT"/>
          <w:sz w:val="24"/>
          <w:szCs w:val="24"/>
        </w:rPr>
        <w:t xml:space="preserve"> </w:t>
      </w:r>
      <w:r>
        <w:rPr>
          <w:rFonts w:ascii="Tw Cen MT" w:cs="Times New Roman" w:hAnsi="Tw Cen MT"/>
          <w:noProof/>
          <w:sz w:val="24"/>
          <w:szCs w:val="24"/>
        </w:rPr>
        <w:t xml:space="preserve">Penelitian ini dilaksanakan terhadap 89 responden yang memiliki Balita di Desa Air Jernih wilayah kerja Puskesmas Pekan Heran yang merupakan lokus Stunting tahun 2023, pemilihan sample menggunakan tehnik sampling jenuh yakni mengambil keseluruhan populasi menjadi sampel yaitu seluruh keluarga yang memiliki Balita di Desa Air Jernih diwilayah kerja Puskesmas Pekan Heran. </w:t>
      </w:r>
      <w:r>
        <w:rPr>
          <w:rFonts w:ascii="Tw Cen MT" w:cs="Times New Roman" w:hAnsi="Tw Cen MT"/>
          <w:sz w:val="24"/>
          <w:szCs w:val="24"/>
          <w:shd w:val="clear" w:color="auto" w:fill="ffffff"/>
        </w:rPr>
        <w:t>Penelitian</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ini</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menggunakan</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tiga</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jenis</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kuesioner</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yaitu</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kuesioner</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karakteristik</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responden</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perhitungan</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tingi</w:t>
      </w:r>
      <w:r>
        <w:rPr>
          <w:rFonts w:ascii="Tw Cen MT" w:cs="Times New Roman" w:hAnsi="Tw Cen MT"/>
          <w:sz w:val="24"/>
          <w:szCs w:val="24"/>
          <w:shd w:val="clear" w:color="auto" w:fill="ffffff"/>
        </w:rPr>
        <w:t xml:space="preserve"> badan </w:t>
      </w:r>
      <w:r>
        <w:rPr>
          <w:rFonts w:ascii="Tw Cen MT" w:cs="Times New Roman" w:hAnsi="Tw Cen MT"/>
          <w:sz w:val="24"/>
          <w:szCs w:val="24"/>
          <w:shd w:val="clear" w:color="auto" w:fill="ffffff"/>
        </w:rPr>
        <w:t>balita</w:t>
      </w:r>
      <w:r>
        <w:rPr>
          <w:rFonts w:ascii="Tw Cen MT" w:cs="Times New Roman" w:hAnsi="Tw Cen MT"/>
          <w:sz w:val="24"/>
          <w:szCs w:val="24"/>
          <w:shd w:val="clear" w:color="auto" w:fill="ffffff"/>
        </w:rPr>
        <w:t xml:space="preserve"> dan </w:t>
      </w:r>
      <w:r>
        <w:rPr>
          <w:rFonts w:ascii="Tw Cen MT" w:cs="Times New Roman" w:hAnsi="Tw Cen MT"/>
          <w:sz w:val="24"/>
          <w:szCs w:val="24"/>
          <w:shd w:val="clear" w:color="auto" w:fill="ffffff"/>
        </w:rPr>
        <w:t>kuesioner</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mekanisme</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koping</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orangtua</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menggunakan</w:t>
      </w:r>
      <w:r>
        <w:rPr>
          <w:rFonts w:ascii="Tw Cen MT" w:cs="Times New Roman" w:hAnsi="Tw Cen MT"/>
          <w:sz w:val="24"/>
          <w:szCs w:val="24"/>
          <w:shd w:val="clear" w:color="auto" w:fill="ffffff"/>
        </w:rPr>
        <w:t xml:space="preserve"> instrument F-COPES (Family Crisis Oriented Evaluation Scale). F-COPES </w:t>
      </w:r>
      <w:r>
        <w:rPr>
          <w:rFonts w:ascii="Tw Cen MT" w:cs="Times New Roman" w:hAnsi="Tw Cen MT"/>
          <w:sz w:val="24"/>
          <w:szCs w:val="24"/>
          <w:shd w:val="clear" w:color="auto" w:fill="ffffff"/>
        </w:rPr>
        <w:t>merupakan</w:t>
      </w:r>
      <w:r>
        <w:rPr>
          <w:rFonts w:ascii="Tw Cen MT" w:cs="Times New Roman" w:hAnsi="Tw Cen MT"/>
          <w:sz w:val="24"/>
          <w:szCs w:val="24"/>
          <w:shd w:val="clear" w:color="auto" w:fill="ffffff"/>
        </w:rPr>
        <w:t xml:space="preserve"> instrument </w:t>
      </w:r>
      <w:r>
        <w:rPr>
          <w:rFonts w:ascii="Tw Cen MT" w:cs="Times New Roman" w:hAnsi="Tw Cen MT"/>
          <w:sz w:val="24"/>
          <w:szCs w:val="24"/>
          <w:shd w:val="clear" w:color="auto" w:fill="ffffff"/>
        </w:rPr>
        <w:t>untuk</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mendapatkan</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mekanisme</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koping</w:t>
      </w:r>
      <w:r>
        <w:rPr>
          <w:rFonts w:ascii="Tw Cen MT" w:cs="Times New Roman" w:hAnsi="Tw Cen MT"/>
          <w:sz w:val="24"/>
          <w:szCs w:val="24"/>
          <w:shd w:val="clear" w:color="auto" w:fill="ffffff"/>
        </w:rPr>
        <w:t xml:space="preserve"> yang </w:t>
      </w:r>
      <w:r>
        <w:rPr>
          <w:rFonts w:ascii="Tw Cen MT" w:cs="Times New Roman" w:hAnsi="Tw Cen MT"/>
          <w:sz w:val="24"/>
          <w:szCs w:val="24"/>
          <w:shd w:val="clear" w:color="auto" w:fill="ffffff"/>
        </w:rPr>
        <w:t>digunakan</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keluarga</w:t>
      </w:r>
      <w:r>
        <w:rPr>
          <w:rFonts w:ascii="Tw Cen MT" w:cs="Times New Roman" w:hAnsi="Tw Cen MT"/>
          <w:sz w:val="24"/>
          <w:szCs w:val="24"/>
          <w:shd w:val="clear" w:color="auto" w:fill="ffffff"/>
        </w:rPr>
        <w:t xml:space="preserve"> yang </w:t>
      </w:r>
      <w:r>
        <w:rPr>
          <w:rFonts w:ascii="Tw Cen MT" w:cs="Times New Roman" w:hAnsi="Tw Cen MT"/>
          <w:sz w:val="24"/>
          <w:szCs w:val="24"/>
          <w:shd w:val="clear" w:color="auto" w:fill="ffffff"/>
        </w:rPr>
        <w:t>terdiri</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dari</w:t>
      </w:r>
      <w:r>
        <w:rPr>
          <w:rFonts w:ascii="Tw Cen MT" w:cs="Times New Roman" w:hAnsi="Tw Cen MT"/>
          <w:sz w:val="24"/>
          <w:szCs w:val="24"/>
          <w:shd w:val="clear" w:color="auto" w:fill="ffffff"/>
        </w:rPr>
        <w:t xml:space="preserve"> 30 </w:t>
      </w:r>
      <w:r>
        <w:rPr>
          <w:rFonts w:ascii="Tw Cen MT" w:cs="Times New Roman" w:hAnsi="Tw Cen MT"/>
          <w:sz w:val="24"/>
          <w:szCs w:val="24"/>
          <w:shd w:val="clear" w:color="auto" w:fill="ffffff"/>
        </w:rPr>
        <w:t>pertanyaan</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Kuisioner</w:t>
      </w:r>
      <w:r>
        <w:rPr>
          <w:rFonts w:ascii="Tw Cen MT" w:cs="Times New Roman" w:hAnsi="Tw Cen MT"/>
          <w:sz w:val="24"/>
          <w:szCs w:val="24"/>
          <w:shd w:val="clear" w:color="auto" w:fill="ffffff"/>
        </w:rPr>
        <w:t xml:space="preserve"> FCOPES yang </w:t>
      </w:r>
      <w:r>
        <w:rPr>
          <w:rFonts w:ascii="Tw Cen MT" w:cs="Times New Roman" w:hAnsi="Tw Cen MT"/>
          <w:sz w:val="24"/>
          <w:szCs w:val="24"/>
          <w:shd w:val="clear" w:color="auto" w:fill="ffffff"/>
        </w:rPr>
        <w:t>digunakan</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telah</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terbukti</w:t>
      </w:r>
      <w:r>
        <w:rPr>
          <w:rFonts w:ascii="Tw Cen MT" w:cs="Times New Roman" w:hAnsi="Tw Cen MT"/>
          <w:sz w:val="24"/>
          <w:szCs w:val="24"/>
          <w:shd w:val="clear" w:color="auto" w:fill="ffffff"/>
        </w:rPr>
        <w:t xml:space="preserve"> reliable dan valid </w:t>
      </w:r>
      <w:r>
        <w:rPr>
          <w:rFonts w:ascii="Tw Cen MT" w:cs="Times New Roman" w:hAnsi="Tw Cen MT"/>
          <w:sz w:val="24"/>
          <w:szCs w:val="24"/>
          <w:shd w:val="clear" w:color="auto" w:fill="ffffff"/>
        </w:rPr>
        <w:t>dengan</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nilai</w:t>
      </w:r>
      <w:r>
        <w:rPr>
          <w:rFonts w:ascii="Tw Cen MT" w:cs="Times New Roman" w:hAnsi="Tw Cen MT"/>
          <w:sz w:val="24"/>
          <w:szCs w:val="24"/>
          <w:shd w:val="clear" w:color="auto" w:fill="ffffff"/>
        </w:rPr>
        <w:t xml:space="preserve"> 0,941. </w:t>
      </w:r>
      <w:r>
        <w:rPr>
          <w:rFonts w:ascii="Tw Cen MT" w:cs="Times New Roman" w:hAnsi="Tw Cen MT"/>
          <w:sz w:val="24"/>
          <w:szCs w:val="24"/>
          <w:shd w:val="clear" w:color="auto" w:fill="ffffff"/>
        </w:rPr>
        <w:t>Sehingga</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seluruh</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pertanyaan</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kuisioner</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dapat</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digunakan</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sebagai</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nstrument</w:t>
      </w:r>
      <w:r>
        <w:rPr>
          <w:rFonts w:ascii="Tw Cen MT" w:cs="Times New Roman" w:hAnsi="Tw Cen MT"/>
          <w:sz w:val="24"/>
          <w:szCs w:val="24"/>
          <w:shd w:val="clear" w:color="auto" w:fill="ffffff"/>
        </w:rPr>
        <w:t xml:space="preserve"> </w:t>
      </w:r>
      <w:r>
        <w:rPr>
          <w:rFonts w:ascii="Tw Cen MT" w:cs="Times New Roman" w:hAnsi="Tw Cen MT"/>
          <w:sz w:val="24"/>
          <w:szCs w:val="24"/>
          <w:shd w:val="clear" w:color="auto" w:fill="ffffff"/>
        </w:rPr>
        <w:t>penelitian</w:t>
      </w:r>
      <w:r>
        <w:rPr>
          <w:rFonts w:ascii="Tw Cen MT" w:cs="Times New Roman" w:hAnsi="Tw Cen MT"/>
          <w:sz w:val="24"/>
          <w:szCs w:val="24"/>
        </w:rPr>
        <w:t>.</w:t>
      </w:r>
    </w:p>
    <w:p>
      <w:pPr>
        <w:pStyle w:val="style0"/>
        <w:jc w:val="both"/>
        <w:rPr>
          <w:rFonts w:ascii="Times New Roman" w:cs="Times New Roman" w:hAnsi="Times New Roman"/>
          <w:noProof/>
          <w:sz w:val="18"/>
          <w:szCs w:val="18"/>
        </w:rPr>
      </w:pPr>
      <w:r>
        <w:rPr>
          <w:rFonts w:ascii="Tw Cen MT" w:cs="Times New Roman" w:hAnsi="Tw Cen MT"/>
          <w:noProof/>
          <w:sz w:val="24"/>
          <w:szCs w:val="24"/>
        </w:rPr>
        <w:t xml:space="preserve"> Berikut ini adalah merupakan karakteristik responden yaitu keluarga yang memiliki anak balita yang berjumlah 89 orang seperti bentuk keluarga, pendapatan keluarga, jumlah anak, tingkat pendidikan dan pekerjaan, kemudian untuk status gizi anak serta mekanisme koping yang digunakan oleh keluarga tersebut.</w:t>
      </w:r>
    </w:p>
    <w:p>
      <w:pPr>
        <w:pStyle w:val="style0"/>
        <w:tabs>
          <w:tab w:val="left" w:leader="none" w:pos="426"/>
        </w:tabs>
        <w:spacing w:after="0" w:lineRule="auto" w:line="240"/>
        <w:jc w:val="both"/>
        <w:rPr>
          <w:rFonts w:ascii="Tw Cen MT" w:cs="Twentieth Century" w:eastAsia="Twentieth Century" w:hAnsi="Tw Cen MT"/>
          <w:sz w:val="24"/>
          <w:szCs w:val="24"/>
        </w:rPr>
      </w:pPr>
      <w:r>
        <w:rPr>
          <w:rFonts w:ascii="Tw Cen MT" w:cs="Twentieth Century" w:eastAsia="Twentieth Century" w:hAnsi="Tw Cen MT"/>
          <w:sz w:val="24"/>
          <w:szCs w:val="24"/>
        </w:rPr>
        <w:t>.</w:t>
      </w:r>
    </w:p>
    <w:p>
      <w:pPr>
        <w:pStyle w:val="style0"/>
        <w:tabs>
          <w:tab w:val="left" w:leader="none" w:pos="426"/>
        </w:tabs>
        <w:spacing w:after="0"/>
        <w:jc w:val="both"/>
        <w:rPr>
          <w:rFonts w:ascii="Tw Cen MT" w:cs="Twentieth Century" w:eastAsia="Twentieth Century" w:hAnsi="Tw Cen MT"/>
          <w:sz w:val="24"/>
          <w:szCs w:val="24"/>
        </w:rPr>
      </w:pPr>
    </w:p>
    <w:p>
      <w:pPr>
        <w:pStyle w:val="style0"/>
        <w:spacing w:after="0" w:lineRule="auto" w:line="240"/>
        <w:jc w:val="center"/>
        <w:rPr>
          <w:rFonts w:ascii="Tw Cen MT" w:cs="Twentieth Century" w:eastAsia="Twentieth Century" w:hAnsi="Tw Cen MT"/>
          <w:sz w:val="20"/>
          <w:szCs w:val="20"/>
        </w:rPr>
      </w:pPr>
      <w:r>
        <w:rPr>
          <w:rFonts w:ascii="Tw Cen MT" w:cs="Twentieth Century" w:eastAsia="Twentieth Century" w:hAnsi="Tw Cen MT"/>
          <w:sz w:val="20"/>
          <w:szCs w:val="20"/>
        </w:rPr>
        <w:t xml:space="preserve">Tabel </w:t>
      </w:r>
      <w:r>
        <w:rPr>
          <w:rFonts w:ascii="Tw Cen MT" w:cs="Twentieth Century" w:eastAsia="Twentieth Century" w:hAnsi="Tw Cen MT"/>
          <w:sz w:val="20"/>
          <w:szCs w:val="20"/>
        </w:rPr>
        <w:t>1</w:t>
      </w:r>
      <w:r>
        <w:rPr>
          <w:rFonts w:ascii="Tw Cen MT" w:cs="Twentieth Century" w:eastAsia="Twentieth Century" w:hAnsi="Tw Cen MT"/>
          <w:sz w:val="20"/>
          <w:szCs w:val="20"/>
        </w:rPr>
        <w:t>. Estimated Regression Function Heteroscedasticity Model (Tw Cen MT, 10)</w:t>
      </w:r>
    </w:p>
    <w:p>
      <w:pPr>
        <w:pStyle w:val="style0"/>
        <w:spacing w:after="0" w:lineRule="auto" w:line="240"/>
        <w:jc w:val="both"/>
        <w:rPr>
          <w:rFonts w:ascii="Tw Cen MT" w:cs="Times New Roman" w:hAnsi="Tw Cen MT"/>
          <w:sz w:val="24"/>
          <w:szCs w:val="24"/>
        </w:rPr>
      </w:pPr>
      <w:r>
        <w:rPr>
          <w:rFonts w:ascii="Tw Cen MT" w:cs="Twentieth Century" w:eastAsia="Twentieth Century" w:hAnsi="Tw Cen MT"/>
          <w:sz w:val="20"/>
          <w:szCs w:val="20"/>
        </w:rPr>
        <w:t xml:space="preserve"> </w:t>
      </w:r>
      <w:r>
        <w:rPr>
          <w:rFonts w:ascii="Tw Cen MT" w:cs="Twentieth Century" w:eastAsia="Twentieth Century" w:hAnsi="Tw Cen MT"/>
          <w:sz w:val="20"/>
          <w:szCs w:val="20"/>
        </w:rPr>
        <w:t>Source :</w:t>
      </w:r>
      <w:r>
        <w:rPr>
          <w:rFonts w:ascii="Tw Cen MT" w:cs="Twentieth Century" w:eastAsia="Twentieth Century" w:hAnsi="Tw Cen MT"/>
          <w:sz w:val="20"/>
          <w:szCs w:val="20"/>
        </w:rPr>
        <w:t xml:space="preserve"> secondary data processing (Tw Cen MT, 10)</w:t>
      </w:r>
    </w:p>
    <w:p>
      <w:pPr>
        <w:pStyle w:val="style0"/>
        <w:spacing w:after="0" w:lineRule="auto" w:line="240"/>
        <w:jc w:val="both"/>
        <w:rPr>
          <w:rFonts w:ascii="Tw Cen MT" w:hAnsi="Tw Cen MT"/>
          <w:noProof/>
          <w:sz w:val="24"/>
          <w:szCs w:val="24"/>
          <w:lang w:eastAsia="id-ID"/>
        </w:rPr>
      </w:pPr>
    </w:p>
    <w:p>
      <w:pPr>
        <w:pStyle w:val="style0"/>
        <w:spacing w:after="0" w:lineRule="auto" w:line="240"/>
        <w:jc w:val="center"/>
        <w:rPr>
          <w:rFonts w:ascii="Times New Roman" w:cs="Times New Roman" w:eastAsia="Calibri" w:hAnsi="Times New Roman"/>
          <w:sz w:val="20"/>
          <w:szCs w:val="20"/>
        </w:rPr>
      </w:pPr>
      <w:r>
        <w:rPr>
          <w:rFonts w:ascii="Times New Roman" w:cs="Times New Roman" w:eastAsia="Calibri" w:hAnsi="Times New Roman"/>
          <w:sz w:val="20"/>
          <w:szCs w:val="20"/>
        </w:rPr>
        <w:t>Tabel. 1</w:t>
      </w:r>
    </w:p>
    <w:p>
      <w:pPr>
        <w:pStyle w:val="style0"/>
        <w:spacing w:after="0" w:lineRule="auto" w:line="240"/>
        <w:jc w:val="center"/>
        <w:rPr>
          <w:rFonts w:ascii="Times New Roman" w:cs="Times New Roman" w:eastAsia="Calibri" w:hAnsi="Times New Roman"/>
          <w:sz w:val="20"/>
          <w:szCs w:val="20"/>
        </w:rPr>
      </w:pPr>
      <w:r>
        <w:rPr>
          <w:rFonts w:ascii="Times New Roman" w:cs="Times New Roman" w:eastAsia="Calibri" w:hAnsi="Times New Roman"/>
          <w:sz w:val="20"/>
          <w:szCs w:val="20"/>
        </w:rPr>
        <w:t>Karakteristik</w:t>
      </w:r>
      <w:r>
        <w:rPr>
          <w:rFonts w:ascii="Times New Roman" w:cs="Times New Roman" w:eastAsia="Calibri" w:hAnsi="Times New Roman"/>
          <w:sz w:val="20"/>
          <w:szCs w:val="20"/>
        </w:rPr>
        <w:t xml:space="preserve"> </w:t>
      </w:r>
      <w:r>
        <w:rPr>
          <w:rFonts w:ascii="Times New Roman" w:cs="Times New Roman" w:eastAsia="Calibri" w:hAnsi="Times New Roman"/>
          <w:sz w:val="20"/>
          <w:szCs w:val="20"/>
        </w:rPr>
        <w:t>Responden</w:t>
      </w:r>
    </w:p>
    <w:tbl>
      <w:tblPr>
        <w:tblStyle w:val="style4112"/>
        <w:tblW w:w="0" w:type="auto"/>
        <w:jc w:val="center"/>
        <w:tblLook w:val="04A0" w:firstRow="1" w:lastRow="0" w:firstColumn="1" w:lastColumn="0" w:noHBand="0" w:noVBand="1"/>
      </w:tblPr>
      <w:tblGrid>
        <w:gridCol w:w="2402"/>
        <w:gridCol w:w="919"/>
        <w:gridCol w:w="997"/>
      </w:tblGrid>
      <w:tr>
        <w:trPr>
          <w:trHeight w:val="501" w:hRule="atLeast"/>
          <w:jc w:val="center"/>
        </w:trPr>
        <w:tc>
          <w:tcPr>
            <w:tcW w:w="2254" w:type="dxa"/>
            <w:tcBorders>
              <w:left w:val="nil"/>
              <w:right w:val="nil"/>
            </w:tcBorders>
            <w:shd w:val="clear" w:color="auto" w:fill="d9d9d9"/>
            <w:vAlign w:val="center"/>
          </w:tcPr>
          <w:p>
            <w:pPr>
              <w:pStyle w:val="style0"/>
              <w:jc w:val="center"/>
              <w:contextualSpacing/>
              <w:rPr>
                <w:rFonts w:ascii="Tw Cen MT" w:eastAsia="Calibri" w:hAnsi="Tw Cen MT"/>
                <w:sz w:val="16"/>
                <w:szCs w:val="16"/>
              </w:rPr>
            </w:pPr>
            <w:r>
              <w:rPr>
                <w:rFonts w:ascii="Tw Cen MT" w:eastAsia="Calibri" w:hAnsi="Tw Cen MT"/>
                <w:sz w:val="16"/>
                <w:szCs w:val="16"/>
              </w:rPr>
              <w:t>Karakteristik</w:t>
            </w:r>
          </w:p>
        </w:tc>
        <w:tc>
          <w:tcPr>
            <w:tcW w:w="2254" w:type="dxa"/>
            <w:tcBorders>
              <w:left w:val="nil"/>
              <w:right w:val="nil"/>
            </w:tcBorders>
            <w:shd w:val="clear" w:color="auto" w:fill="d9d9d9"/>
            <w:vAlign w:val="center"/>
          </w:tcPr>
          <w:p>
            <w:pPr>
              <w:pStyle w:val="style0"/>
              <w:jc w:val="center"/>
              <w:contextualSpacing/>
              <w:rPr>
                <w:rFonts w:ascii="Tw Cen MT" w:eastAsia="Calibri" w:hAnsi="Tw Cen MT"/>
                <w:sz w:val="16"/>
                <w:szCs w:val="16"/>
              </w:rPr>
            </w:pPr>
            <w:r>
              <w:rPr>
                <w:rFonts w:ascii="Tw Cen MT" w:eastAsia="Calibri" w:hAnsi="Tw Cen MT"/>
                <w:sz w:val="16"/>
                <w:szCs w:val="16"/>
              </w:rPr>
              <w:t>Frekwensi</w:t>
            </w:r>
          </w:p>
        </w:tc>
        <w:tc>
          <w:tcPr>
            <w:tcW w:w="2254" w:type="dxa"/>
            <w:tcBorders>
              <w:left w:val="nil"/>
              <w:right w:val="nil"/>
            </w:tcBorders>
            <w:shd w:val="clear" w:color="auto" w:fill="d9d9d9"/>
            <w:vAlign w:val="center"/>
          </w:tcPr>
          <w:p>
            <w:pPr>
              <w:pStyle w:val="style0"/>
              <w:jc w:val="center"/>
              <w:contextualSpacing/>
              <w:rPr>
                <w:rFonts w:ascii="Tw Cen MT" w:eastAsia="Calibri" w:hAnsi="Tw Cen MT"/>
                <w:sz w:val="16"/>
                <w:szCs w:val="16"/>
              </w:rPr>
            </w:pPr>
            <w:r>
              <w:rPr>
                <w:rFonts w:ascii="Tw Cen MT" w:eastAsia="Calibri" w:hAnsi="Tw Cen MT"/>
                <w:sz w:val="16"/>
                <w:szCs w:val="16"/>
              </w:rPr>
              <w:t>Persentase</w:t>
            </w:r>
          </w:p>
        </w:tc>
      </w:tr>
      <w:tr>
        <w:tblPrEx/>
        <w:trPr>
          <w:jc w:val="center"/>
        </w:trPr>
        <w:tc>
          <w:tcPr>
            <w:tcW w:w="2254" w:type="dxa"/>
            <w:tcBorders>
              <w:left w:val="nil"/>
              <w:right w:val="nil"/>
            </w:tcBorders>
          </w:tcPr>
          <w:p>
            <w:pPr>
              <w:pStyle w:val="style0"/>
              <w:contextualSpacing/>
              <w:rPr>
                <w:rFonts w:ascii="Tw Cen MT" w:eastAsia="Calibri" w:hAnsi="Tw Cen MT"/>
                <w:sz w:val="16"/>
                <w:szCs w:val="16"/>
              </w:rPr>
            </w:pPr>
            <w:r>
              <w:rPr>
                <w:rFonts w:ascii="Tw Cen MT" w:eastAsia="Calibri" w:hAnsi="Tw Cen MT"/>
                <w:sz w:val="16"/>
                <w:szCs w:val="16"/>
              </w:rPr>
              <w:t xml:space="preserve">Bentuk </w:t>
            </w:r>
            <w:r>
              <w:rPr>
                <w:rFonts w:ascii="Tw Cen MT" w:eastAsia="Calibri" w:hAnsi="Tw Cen MT"/>
                <w:sz w:val="16"/>
                <w:szCs w:val="16"/>
              </w:rPr>
              <w:t>Keluarga</w:t>
            </w:r>
            <w:r>
              <w:rPr>
                <w:rFonts w:ascii="Tw Cen MT" w:eastAsia="Calibri" w:hAnsi="Tw Cen MT"/>
                <w:sz w:val="16"/>
                <w:szCs w:val="16"/>
              </w:rPr>
              <w:t xml:space="preserve"> :</w:t>
            </w:r>
          </w:p>
          <w:p>
            <w:pPr>
              <w:pStyle w:val="style0"/>
              <w:numPr>
                <w:ilvl w:val="0"/>
                <w:numId w:val="1"/>
              </w:numPr>
              <w:ind w:left="742" w:hanging="425"/>
              <w:contextualSpacing/>
              <w:rPr>
                <w:rFonts w:ascii="Tw Cen MT" w:eastAsia="Calibri" w:hAnsi="Tw Cen MT"/>
                <w:sz w:val="16"/>
                <w:szCs w:val="16"/>
              </w:rPr>
            </w:pPr>
            <w:r>
              <w:rPr>
                <w:rFonts w:ascii="Tw Cen MT" w:eastAsia="Calibri" w:hAnsi="Tw Cen MT"/>
                <w:sz w:val="16"/>
                <w:szCs w:val="16"/>
              </w:rPr>
              <w:t>Nuclear Family</w:t>
            </w:r>
          </w:p>
          <w:p>
            <w:pPr>
              <w:pStyle w:val="style0"/>
              <w:numPr>
                <w:ilvl w:val="0"/>
                <w:numId w:val="1"/>
              </w:numPr>
              <w:ind w:left="742" w:hanging="425"/>
              <w:contextualSpacing/>
              <w:rPr>
                <w:rFonts w:ascii="Tw Cen MT" w:eastAsia="Calibri" w:hAnsi="Tw Cen MT"/>
                <w:sz w:val="16"/>
                <w:szCs w:val="16"/>
              </w:rPr>
            </w:pPr>
            <w:r>
              <w:rPr>
                <w:rFonts w:ascii="Tw Cen MT" w:eastAsia="Calibri" w:hAnsi="Tw Cen MT"/>
                <w:sz w:val="16"/>
                <w:szCs w:val="16"/>
              </w:rPr>
              <w:t>Extended Family</w:t>
            </w:r>
          </w:p>
          <w:p>
            <w:pPr>
              <w:pStyle w:val="style0"/>
              <w:numPr>
                <w:ilvl w:val="0"/>
                <w:numId w:val="1"/>
              </w:numPr>
              <w:ind w:left="742" w:hanging="425"/>
              <w:contextualSpacing/>
              <w:rPr>
                <w:rFonts w:ascii="Tw Cen MT" w:eastAsia="Calibri" w:hAnsi="Tw Cen MT"/>
                <w:sz w:val="16"/>
                <w:szCs w:val="16"/>
              </w:rPr>
            </w:pPr>
            <w:r>
              <w:rPr>
                <w:rFonts w:ascii="Tw Cen MT" w:eastAsia="Calibri" w:hAnsi="Tw Cen MT"/>
                <w:sz w:val="16"/>
                <w:szCs w:val="16"/>
              </w:rPr>
              <w:t>Single Parent</w:t>
            </w:r>
          </w:p>
          <w:p>
            <w:pPr>
              <w:pStyle w:val="style0"/>
              <w:ind w:left="742"/>
              <w:contextualSpacing/>
              <w:rPr>
                <w:rFonts w:ascii="Tw Cen MT" w:eastAsia="Calibri" w:hAnsi="Tw Cen MT"/>
                <w:sz w:val="16"/>
                <w:szCs w:val="16"/>
              </w:rPr>
            </w:pPr>
          </w:p>
        </w:tc>
        <w:tc>
          <w:tcPr>
            <w:tcW w:w="2254" w:type="dxa"/>
            <w:tcBorders>
              <w:left w:val="nil"/>
              <w:right w:val="nil"/>
            </w:tcBorders>
          </w:tcPr>
          <w:p>
            <w:pPr>
              <w:pStyle w:val="style0"/>
              <w:jc w:val="center"/>
              <w:contextualSpacing/>
              <w:rPr>
                <w:rFonts w:ascii="Tw Cen MT" w:eastAsia="Calibri" w:hAnsi="Tw Cen MT"/>
                <w:sz w:val="16"/>
                <w:szCs w:val="16"/>
              </w:rPr>
            </w:pPr>
          </w:p>
          <w:p>
            <w:pPr>
              <w:pStyle w:val="style0"/>
              <w:jc w:val="center"/>
              <w:contextualSpacing/>
              <w:rPr>
                <w:rFonts w:ascii="Tw Cen MT" w:eastAsia="Calibri" w:hAnsi="Tw Cen MT"/>
                <w:sz w:val="16"/>
                <w:szCs w:val="16"/>
              </w:rPr>
            </w:pPr>
            <w:r>
              <w:rPr>
                <w:rFonts w:ascii="Tw Cen MT" w:eastAsia="Calibri" w:hAnsi="Tw Cen MT"/>
                <w:sz w:val="16"/>
                <w:szCs w:val="16"/>
              </w:rPr>
              <w:t>74</w:t>
            </w:r>
          </w:p>
          <w:p>
            <w:pPr>
              <w:pStyle w:val="style0"/>
              <w:jc w:val="center"/>
              <w:contextualSpacing/>
              <w:rPr>
                <w:rFonts w:ascii="Tw Cen MT" w:eastAsia="Calibri" w:hAnsi="Tw Cen MT"/>
                <w:sz w:val="16"/>
                <w:szCs w:val="16"/>
              </w:rPr>
            </w:pPr>
            <w:r>
              <w:rPr>
                <w:rFonts w:ascii="Tw Cen MT" w:eastAsia="Calibri" w:hAnsi="Tw Cen MT"/>
                <w:sz w:val="16"/>
                <w:szCs w:val="16"/>
              </w:rPr>
              <w:t>8</w:t>
            </w:r>
          </w:p>
          <w:p>
            <w:pPr>
              <w:pStyle w:val="style0"/>
              <w:jc w:val="center"/>
              <w:contextualSpacing/>
              <w:rPr>
                <w:rFonts w:ascii="Tw Cen MT" w:eastAsia="Calibri" w:hAnsi="Tw Cen MT"/>
                <w:sz w:val="16"/>
                <w:szCs w:val="16"/>
              </w:rPr>
            </w:pPr>
            <w:r>
              <w:rPr>
                <w:rFonts w:ascii="Tw Cen MT" w:eastAsia="Calibri" w:hAnsi="Tw Cen MT"/>
                <w:sz w:val="16"/>
                <w:szCs w:val="16"/>
              </w:rPr>
              <w:t>7</w:t>
            </w:r>
          </w:p>
          <w:p>
            <w:pPr>
              <w:pStyle w:val="style0"/>
              <w:jc w:val="center"/>
              <w:contextualSpacing/>
              <w:rPr>
                <w:rFonts w:ascii="Tw Cen MT" w:eastAsia="Calibri" w:hAnsi="Tw Cen MT"/>
                <w:sz w:val="16"/>
                <w:szCs w:val="16"/>
              </w:rPr>
            </w:pPr>
          </w:p>
        </w:tc>
        <w:tc>
          <w:tcPr>
            <w:tcW w:w="2254" w:type="dxa"/>
            <w:tcBorders>
              <w:left w:val="nil"/>
              <w:right w:val="nil"/>
            </w:tcBorders>
          </w:tcPr>
          <w:p>
            <w:pPr>
              <w:pStyle w:val="style0"/>
              <w:jc w:val="center"/>
              <w:contextualSpacing/>
              <w:rPr>
                <w:rFonts w:ascii="Tw Cen MT" w:eastAsia="Calibri" w:hAnsi="Tw Cen MT"/>
                <w:sz w:val="16"/>
                <w:szCs w:val="16"/>
              </w:rPr>
            </w:pPr>
          </w:p>
          <w:p>
            <w:pPr>
              <w:pStyle w:val="style0"/>
              <w:jc w:val="center"/>
              <w:contextualSpacing/>
              <w:rPr>
                <w:rFonts w:ascii="Tw Cen MT" w:eastAsia="Calibri" w:hAnsi="Tw Cen MT"/>
                <w:sz w:val="16"/>
                <w:szCs w:val="16"/>
              </w:rPr>
            </w:pPr>
            <w:r>
              <w:rPr>
                <w:rFonts w:ascii="Tw Cen MT" w:eastAsia="Calibri" w:hAnsi="Tw Cen MT"/>
                <w:sz w:val="16"/>
                <w:szCs w:val="16"/>
              </w:rPr>
              <w:t>83,1</w:t>
            </w:r>
          </w:p>
          <w:p>
            <w:pPr>
              <w:pStyle w:val="style0"/>
              <w:jc w:val="center"/>
              <w:contextualSpacing/>
              <w:rPr>
                <w:rFonts w:ascii="Tw Cen MT" w:eastAsia="Calibri" w:hAnsi="Tw Cen MT"/>
                <w:sz w:val="16"/>
                <w:szCs w:val="16"/>
              </w:rPr>
            </w:pPr>
            <w:r>
              <w:rPr>
                <w:rFonts w:ascii="Tw Cen MT" w:eastAsia="Calibri" w:hAnsi="Tw Cen MT"/>
                <w:sz w:val="16"/>
                <w:szCs w:val="16"/>
              </w:rPr>
              <w:t>9,0</w:t>
            </w:r>
          </w:p>
          <w:p>
            <w:pPr>
              <w:pStyle w:val="style0"/>
              <w:jc w:val="center"/>
              <w:contextualSpacing/>
              <w:rPr>
                <w:rFonts w:ascii="Tw Cen MT" w:eastAsia="Calibri" w:hAnsi="Tw Cen MT"/>
                <w:sz w:val="16"/>
                <w:szCs w:val="16"/>
              </w:rPr>
            </w:pPr>
            <w:r>
              <w:rPr>
                <w:rFonts w:ascii="Tw Cen MT" w:eastAsia="Calibri" w:hAnsi="Tw Cen MT"/>
                <w:sz w:val="16"/>
                <w:szCs w:val="16"/>
              </w:rPr>
              <w:t>7,9</w:t>
            </w:r>
          </w:p>
        </w:tc>
      </w:tr>
      <w:tr>
        <w:tblPrEx/>
        <w:trPr>
          <w:jc w:val="center"/>
        </w:trPr>
        <w:tc>
          <w:tcPr>
            <w:tcW w:w="2254" w:type="dxa"/>
            <w:tcBorders>
              <w:left w:val="nil"/>
              <w:right w:val="nil"/>
            </w:tcBorders>
          </w:tcPr>
          <w:p>
            <w:pPr>
              <w:pStyle w:val="style0"/>
              <w:contextualSpacing/>
              <w:rPr>
                <w:rFonts w:ascii="Tw Cen MT" w:eastAsia="Calibri" w:hAnsi="Tw Cen MT"/>
                <w:sz w:val="16"/>
                <w:szCs w:val="16"/>
              </w:rPr>
            </w:pPr>
            <w:r>
              <w:rPr>
                <w:rFonts w:ascii="Tw Cen MT" w:eastAsia="Calibri" w:hAnsi="Tw Cen MT"/>
                <w:sz w:val="16"/>
                <w:szCs w:val="16"/>
              </w:rPr>
              <w:t>Pendapatan</w:t>
            </w:r>
            <w:r>
              <w:rPr>
                <w:rFonts w:ascii="Tw Cen MT" w:eastAsia="Calibri" w:hAnsi="Tw Cen MT"/>
                <w:sz w:val="16"/>
                <w:szCs w:val="16"/>
              </w:rPr>
              <w:t xml:space="preserve"> </w:t>
            </w:r>
            <w:r>
              <w:rPr>
                <w:rFonts w:ascii="Tw Cen MT" w:eastAsia="Calibri" w:hAnsi="Tw Cen MT"/>
                <w:sz w:val="16"/>
                <w:szCs w:val="16"/>
              </w:rPr>
              <w:t>Keluarga</w:t>
            </w:r>
            <w:r>
              <w:rPr>
                <w:rFonts w:ascii="Tw Cen MT" w:eastAsia="Calibri" w:hAnsi="Tw Cen MT"/>
                <w:sz w:val="16"/>
                <w:szCs w:val="16"/>
              </w:rPr>
              <w:t xml:space="preserve"> :</w:t>
            </w:r>
          </w:p>
          <w:p>
            <w:pPr>
              <w:pStyle w:val="style0"/>
              <w:numPr>
                <w:ilvl w:val="0"/>
                <w:numId w:val="6"/>
              </w:numPr>
              <w:contextualSpacing/>
              <w:rPr>
                <w:rFonts w:ascii="Tw Cen MT" w:eastAsia="Calibri" w:hAnsi="Tw Cen MT"/>
                <w:sz w:val="16"/>
                <w:szCs w:val="16"/>
              </w:rPr>
            </w:pPr>
            <w:r>
              <w:rPr>
                <w:rFonts w:ascii="Tw Cen MT" w:eastAsia="Calibri" w:hAnsi="Tw Cen MT"/>
                <w:sz w:val="16"/>
                <w:szCs w:val="16"/>
              </w:rPr>
              <w:t>Sesuai</w:t>
            </w:r>
            <w:r>
              <w:rPr>
                <w:rFonts w:ascii="Tw Cen MT" w:eastAsia="Calibri" w:hAnsi="Tw Cen MT"/>
                <w:sz w:val="16"/>
                <w:szCs w:val="16"/>
              </w:rPr>
              <w:t xml:space="preserve"> UMR</w:t>
            </w:r>
          </w:p>
          <w:p>
            <w:pPr>
              <w:pStyle w:val="style0"/>
              <w:numPr>
                <w:ilvl w:val="0"/>
                <w:numId w:val="6"/>
              </w:numPr>
              <w:contextualSpacing/>
              <w:rPr>
                <w:rFonts w:ascii="Tw Cen MT" w:eastAsia="Calibri" w:hAnsi="Tw Cen MT"/>
                <w:sz w:val="16"/>
                <w:szCs w:val="16"/>
              </w:rPr>
            </w:pPr>
            <w:r>
              <w:rPr>
                <w:rFonts w:ascii="Tw Cen MT" w:eastAsia="Calibri" w:hAnsi="Tw Cen MT"/>
                <w:sz w:val="16"/>
                <w:szCs w:val="16"/>
              </w:rPr>
              <w:t>Dibawah</w:t>
            </w:r>
            <w:r>
              <w:rPr>
                <w:rFonts w:ascii="Tw Cen MT" w:eastAsia="Calibri" w:hAnsi="Tw Cen MT"/>
                <w:sz w:val="16"/>
                <w:szCs w:val="16"/>
              </w:rPr>
              <w:t xml:space="preserve"> UMR</w:t>
            </w:r>
          </w:p>
          <w:p>
            <w:pPr>
              <w:pStyle w:val="style0"/>
              <w:numPr>
                <w:ilvl w:val="0"/>
                <w:numId w:val="6"/>
              </w:numPr>
              <w:contextualSpacing/>
              <w:rPr>
                <w:rFonts w:ascii="Tw Cen MT" w:eastAsia="Calibri" w:hAnsi="Tw Cen MT"/>
                <w:sz w:val="16"/>
                <w:szCs w:val="16"/>
              </w:rPr>
            </w:pPr>
            <w:r>
              <w:rPr>
                <w:rFonts w:ascii="Tw Cen MT" w:eastAsia="Calibri" w:hAnsi="Tw Cen MT"/>
                <w:sz w:val="16"/>
                <w:szCs w:val="16"/>
              </w:rPr>
              <w:t>Diatas</w:t>
            </w:r>
            <w:r>
              <w:rPr>
                <w:rFonts w:ascii="Tw Cen MT" w:eastAsia="Calibri" w:hAnsi="Tw Cen MT"/>
                <w:sz w:val="16"/>
                <w:szCs w:val="16"/>
              </w:rPr>
              <w:t xml:space="preserve"> UMR</w:t>
            </w:r>
          </w:p>
          <w:p>
            <w:pPr>
              <w:pStyle w:val="style0"/>
              <w:ind w:left="720"/>
              <w:contextualSpacing/>
              <w:rPr>
                <w:rFonts w:ascii="Tw Cen MT" w:eastAsia="Calibri" w:hAnsi="Tw Cen MT"/>
                <w:sz w:val="16"/>
                <w:szCs w:val="16"/>
              </w:rPr>
            </w:pPr>
          </w:p>
        </w:tc>
        <w:tc>
          <w:tcPr>
            <w:tcW w:w="2254" w:type="dxa"/>
            <w:tcBorders>
              <w:left w:val="nil"/>
              <w:right w:val="nil"/>
            </w:tcBorders>
          </w:tcPr>
          <w:p>
            <w:pPr>
              <w:pStyle w:val="style0"/>
              <w:jc w:val="center"/>
              <w:contextualSpacing/>
              <w:rPr>
                <w:rFonts w:ascii="Tw Cen MT" w:eastAsia="Calibri" w:hAnsi="Tw Cen MT"/>
                <w:sz w:val="16"/>
                <w:szCs w:val="16"/>
              </w:rPr>
            </w:pPr>
          </w:p>
          <w:p>
            <w:pPr>
              <w:pStyle w:val="style0"/>
              <w:jc w:val="center"/>
              <w:contextualSpacing/>
              <w:rPr>
                <w:rFonts w:ascii="Tw Cen MT" w:eastAsia="Calibri" w:hAnsi="Tw Cen MT"/>
                <w:sz w:val="16"/>
                <w:szCs w:val="16"/>
              </w:rPr>
            </w:pPr>
            <w:r>
              <w:rPr>
                <w:rFonts w:ascii="Tw Cen MT" w:eastAsia="Calibri" w:hAnsi="Tw Cen MT"/>
                <w:sz w:val="16"/>
                <w:szCs w:val="16"/>
              </w:rPr>
              <w:t>50</w:t>
            </w:r>
          </w:p>
          <w:p>
            <w:pPr>
              <w:pStyle w:val="style0"/>
              <w:jc w:val="center"/>
              <w:contextualSpacing/>
              <w:rPr>
                <w:rFonts w:ascii="Tw Cen MT" w:eastAsia="Calibri" w:hAnsi="Tw Cen MT"/>
                <w:sz w:val="16"/>
                <w:szCs w:val="16"/>
              </w:rPr>
            </w:pPr>
            <w:r>
              <w:rPr>
                <w:rFonts w:ascii="Tw Cen MT" w:eastAsia="Calibri" w:hAnsi="Tw Cen MT"/>
                <w:sz w:val="16"/>
                <w:szCs w:val="16"/>
              </w:rPr>
              <w:t>21</w:t>
            </w:r>
          </w:p>
          <w:p>
            <w:pPr>
              <w:pStyle w:val="style0"/>
              <w:jc w:val="center"/>
              <w:contextualSpacing/>
              <w:rPr>
                <w:rFonts w:ascii="Tw Cen MT" w:eastAsia="Calibri" w:hAnsi="Tw Cen MT"/>
                <w:sz w:val="16"/>
                <w:szCs w:val="16"/>
              </w:rPr>
            </w:pPr>
            <w:r>
              <w:rPr>
                <w:rFonts w:ascii="Tw Cen MT" w:eastAsia="Calibri" w:hAnsi="Tw Cen MT"/>
                <w:sz w:val="16"/>
                <w:szCs w:val="16"/>
              </w:rPr>
              <w:t>18</w:t>
            </w:r>
          </w:p>
        </w:tc>
        <w:tc>
          <w:tcPr>
            <w:tcW w:w="2254" w:type="dxa"/>
            <w:tcBorders>
              <w:left w:val="nil"/>
              <w:right w:val="nil"/>
            </w:tcBorders>
          </w:tcPr>
          <w:p>
            <w:pPr>
              <w:pStyle w:val="style0"/>
              <w:jc w:val="center"/>
              <w:contextualSpacing/>
              <w:rPr>
                <w:rFonts w:ascii="Tw Cen MT" w:eastAsia="Calibri" w:hAnsi="Tw Cen MT"/>
                <w:sz w:val="16"/>
                <w:szCs w:val="16"/>
              </w:rPr>
            </w:pPr>
          </w:p>
          <w:p>
            <w:pPr>
              <w:pStyle w:val="style0"/>
              <w:jc w:val="center"/>
              <w:contextualSpacing/>
              <w:rPr>
                <w:rFonts w:ascii="Tw Cen MT" w:eastAsia="Calibri" w:hAnsi="Tw Cen MT"/>
                <w:sz w:val="16"/>
                <w:szCs w:val="16"/>
              </w:rPr>
            </w:pPr>
            <w:r>
              <w:rPr>
                <w:rFonts w:ascii="Tw Cen MT" w:eastAsia="Calibri" w:hAnsi="Tw Cen MT"/>
                <w:sz w:val="16"/>
                <w:szCs w:val="16"/>
              </w:rPr>
              <w:t>56,2</w:t>
            </w:r>
          </w:p>
          <w:p>
            <w:pPr>
              <w:pStyle w:val="style0"/>
              <w:jc w:val="center"/>
              <w:contextualSpacing/>
              <w:rPr>
                <w:rFonts w:ascii="Tw Cen MT" w:eastAsia="Calibri" w:hAnsi="Tw Cen MT"/>
                <w:sz w:val="16"/>
                <w:szCs w:val="16"/>
              </w:rPr>
            </w:pPr>
            <w:r>
              <w:rPr>
                <w:rFonts w:ascii="Tw Cen MT" w:eastAsia="Calibri" w:hAnsi="Tw Cen MT"/>
                <w:sz w:val="16"/>
                <w:szCs w:val="16"/>
              </w:rPr>
              <w:t>23,6</w:t>
            </w:r>
          </w:p>
          <w:p>
            <w:pPr>
              <w:pStyle w:val="style0"/>
              <w:jc w:val="center"/>
              <w:contextualSpacing/>
              <w:rPr>
                <w:rFonts w:ascii="Tw Cen MT" w:eastAsia="Calibri" w:hAnsi="Tw Cen MT"/>
                <w:sz w:val="16"/>
                <w:szCs w:val="16"/>
              </w:rPr>
            </w:pPr>
            <w:r>
              <w:rPr>
                <w:rFonts w:ascii="Tw Cen MT" w:eastAsia="Calibri" w:hAnsi="Tw Cen MT"/>
                <w:sz w:val="16"/>
                <w:szCs w:val="16"/>
              </w:rPr>
              <w:t>20,2</w:t>
            </w:r>
          </w:p>
        </w:tc>
      </w:tr>
      <w:tr>
        <w:tblPrEx/>
        <w:trPr>
          <w:jc w:val="center"/>
        </w:trPr>
        <w:tc>
          <w:tcPr>
            <w:tcW w:w="2254" w:type="dxa"/>
            <w:tcBorders>
              <w:left w:val="nil"/>
              <w:right w:val="nil"/>
            </w:tcBorders>
          </w:tcPr>
          <w:p>
            <w:pPr>
              <w:pStyle w:val="style0"/>
              <w:contextualSpacing/>
              <w:rPr>
                <w:rFonts w:ascii="Tw Cen MT" w:eastAsia="Calibri" w:hAnsi="Tw Cen MT"/>
                <w:sz w:val="16"/>
                <w:szCs w:val="16"/>
              </w:rPr>
            </w:pPr>
            <w:r>
              <w:rPr>
                <w:rFonts w:ascii="Tw Cen MT" w:eastAsia="Calibri" w:hAnsi="Tw Cen MT"/>
                <w:sz w:val="16"/>
                <w:szCs w:val="16"/>
              </w:rPr>
              <w:t>Jumlah</w:t>
            </w:r>
            <w:r>
              <w:rPr>
                <w:rFonts w:ascii="Tw Cen MT" w:eastAsia="Calibri" w:hAnsi="Tw Cen MT"/>
                <w:sz w:val="16"/>
                <w:szCs w:val="16"/>
              </w:rPr>
              <w:t xml:space="preserve"> </w:t>
            </w:r>
            <w:r>
              <w:rPr>
                <w:rFonts w:ascii="Tw Cen MT" w:eastAsia="Calibri" w:hAnsi="Tw Cen MT"/>
                <w:sz w:val="16"/>
                <w:szCs w:val="16"/>
              </w:rPr>
              <w:t>Anak :</w:t>
            </w:r>
          </w:p>
          <w:p>
            <w:pPr>
              <w:pStyle w:val="style0"/>
              <w:numPr>
                <w:ilvl w:val="0"/>
                <w:numId w:val="7"/>
              </w:numPr>
              <w:contextualSpacing/>
              <w:rPr>
                <w:rFonts w:ascii="Tw Cen MT" w:eastAsia="Calibri" w:hAnsi="Tw Cen MT"/>
                <w:sz w:val="16"/>
                <w:szCs w:val="16"/>
              </w:rPr>
            </w:pPr>
            <w:r>
              <w:rPr>
                <w:rFonts w:ascii="Tw Cen MT" w:eastAsia="Calibri" w:hAnsi="Tw Cen MT"/>
                <w:sz w:val="16"/>
                <w:szCs w:val="16"/>
              </w:rPr>
              <w:t xml:space="preserve">&gt; 2 </w:t>
            </w:r>
            <w:r>
              <w:rPr>
                <w:rFonts w:ascii="Tw Cen MT" w:eastAsia="Calibri" w:hAnsi="Tw Cen MT"/>
                <w:sz w:val="16"/>
                <w:szCs w:val="16"/>
              </w:rPr>
              <w:t>orang</w:t>
            </w:r>
          </w:p>
          <w:p>
            <w:pPr>
              <w:pStyle w:val="style0"/>
              <w:numPr>
                <w:ilvl w:val="0"/>
                <w:numId w:val="7"/>
              </w:numPr>
              <w:contextualSpacing/>
              <w:rPr>
                <w:rFonts w:ascii="Tw Cen MT" w:eastAsia="Calibri" w:hAnsi="Tw Cen MT"/>
                <w:sz w:val="16"/>
                <w:szCs w:val="16"/>
              </w:rPr>
            </w:pPr>
            <w:r>
              <w:rPr>
                <w:rFonts w:ascii="Tw Cen MT" w:eastAsia="Calibri" w:hAnsi="Tw Cen MT"/>
                <w:sz w:val="16"/>
                <w:szCs w:val="16"/>
              </w:rPr>
              <w:t>≤2 orang</w:t>
            </w:r>
          </w:p>
          <w:p>
            <w:pPr>
              <w:pStyle w:val="style0"/>
              <w:ind w:left="720"/>
              <w:contextualSpacing/>
              <w:rPr>
                <w:rFonts w:ascii="Tw Cen MT" w:eastAsia="Calibri" w:hAnsi="Tw Cen MT"/>
                <w:sz w:val="16"/>
                <w:szCs w:val="16"/>
              </w:rPr>
            </w:pPr>
          </w:p>
        </w:tc>
        <w:tc>
          <w:tcPr>
            <w:tcW w:w="2254" w:type="dxa"/>
            <w:tcBorders>
              <w:left w:val="nil"/>
              <w:right w:val="nil"/>
            </w:tcBorders>
          </w:tcPr>
          <w:p>
            <w:pPr>
              <w:pStyle w:val="style0"/>
              <w:jc w:val="center"/>
              <w:contextualSpacing/>
              <w:rPr>
                <w:rFonts w:ascii="Tw Cen MT" w:eastAsia="Calibri" w:hAnsi="Tw Cen MT"/>
                <w:sz w:val="16"/>
                <w:szCs w:val="16"/>
              </w:rPr>
            </w:pPr>
          </w:p>
          <w:p>
            <w:pPr>
              <w:pStyle w:val="style0"/>
              <w:jc w:val="center"/>
              <w:contextualSpacing/>
              <w:rPr>
                <w:rFonts w:ascii="Tw Cen MT" w:eastAsia="Calibri" w:hAnsi="Tw Cen MT"/>
                <w:sz w:val="16"/>
                <w:szCs w:val="16"/>
              </w:rPr>
            </w:pPr>
            <w:r>
              <w:rPr>
                <w:rFonts w:ascii="Tw Cen MT" w:eastAsia="Calibri" w:hAnsi="Tw Cen MT"/>
                <w:sz w:val="16"/>
                <w:szCs w:val="16"/>
              </w:rPr>
              <w:t>25</w:t>
            </w:r>
          </w:p>
          <w:p>
            <w:pPr>
              <w:pStyle w:val="style0"/>
              <w:jc w:val="center"/>
              <w:contextualSpacing/>
              <w:rPr>
                <w:rFonts w:ascii="Tw Cen MT" w:eastAsia="Calibri" w:hAnsi="Tw Cen MT"/>
                <w:sz w:val="16"/>
                <w:szCs w:val="16"/>
              </w:rPr>
            </w:pPr>
            <w:r>
              <w:rPr>
                <w:rFonts w:ascii="Tw Cen MT" w:eastAsia="Calibri" w:hAnsi="Tw Cen MT"/>
                <w:sz w:val="16"/>
                <w:szCs w:val="16"/>
              </w:rPr>
              <w:t>64</w:t>
            </w:r>
          </w:p>
        </w:tc>
        <w:tc>
          <w:tcPr>
            <w:tcW w:w="2254" w:type="dxa"/>
            <w:tcBorders>
              <w:left w:val="nil"/>
              <w:right w:val="nil"/>
            </w:tcBorders>
          </w:tcPr>
          <w:p>
            <w:pPr>
              <w:pStyle w:val="style0"/>
              <w:jc w:val="center"/>
              <w:contextualSpacing/>
              <w:rPr>
                <w:rFonts w:ascii="Tw Cen MT" w:eastAsia="Calibri" w:hAnsi="Tw Cen MT"/>
                <w:sz w:val="16"/>
                <w:szCs w:val="16"/>
              </w:rPr>
            </w:pPr>
          </w:p>
          <w:p>
            <w:pPr>
              <w:pStyle w:val="style0"/>
              <w:jc w:val="center"/>
              <w:contextualSpacing/>
              <w:rPr>
                <w:rFonts w:ascii="Tw Cen MT" w:eastAsia="Calibri" w:hAnsi="Tw Cen MT"/>
                <w:sz w:val="16"/>
                <w:szCs w:val="16"/>
              </w:rPr>
            </w:pPr>
            <w:r>
              <w:rPr>
                <w:rFonts w:ascii="Tw Cen MT" w:eastAsia="Calibri" w:hAnsi="Tw Cen MT"/>
                <w:sz w:val="16"/>
                <w:szCs w:val="16"/>
              </w:rPr>
              <w:t>28,1</w:t>
            </w:r>
          </w:p>
          <w:p>
            <w:pPr>
              <w:pStyle w:val="style0"/>
              <w:jc w:val="center"/>
              <w:contextualSpacing/>
              <w:rPr>
                <w:rFonts w:ascii="Tw Cen MT" w:eastAsia="Calibri" w:hAnsi="Tw Cen MT"/>
                <w:sz w:val="16"/>
                <w:szCs w:val="16"/>
              </w:rPr>
            </w:pPr>
            <w:r>
              <w:rPr>
                <w:rFonts w:ascii="Tw Cen MT" w:eastAsia="Calibri" w:hAnsi="Tw Cen MT"/>
                <w:sz w:val="16"/>
                <w:szCs w:val="16"/>
              </w:rPr>
              <w:t>71,9</w:t>
            </w:r>
          </w:p>
        </w:tc>
      </w:tr>
      <w:tr>
        <w:tblPrEx/>
        <w:trPr>
          <w:jc w:val="center"/>
        </w:trPr>
        <w:tc>
          <w:tcPr>
            <w:tcW w:w="2254" w:type="dxa"/>
            <w:tcBorders>
              <w:left w:val="nil"/>
              <w:right w:val="nil"/>
            </w:tcBorders>
          </w:tcPr>
          <w:p>
            <w:pPr>
              <w:pStyle w:val="style0"/>
              <w:contextualSpacing/>
              <w:rPr>
                <w:rFonts w:ascii="Tw Cen MT" w:eastAsia="Calibri" w:hAnsi="Tw Cen MT"/>
                <w:sz w:val="16"/>
                <w:szCs w:val="16"/>
              </w:rPr>
            </w:pPr>
            <w:r>
              <w:rPr>
                <w:rFonts w:ascii="Tw Cen MT" w:eastAsia="Calibri" w:hAnsi="Tw Cen MT"/>
                <w:sz w:val="16"/>
                <w:szCs w:val="16"/>
              </w:rPr>
              <w:t>Pendidikan :</w:t>
            </w:r>
          </w:p>
          <w:p>
            <w:pPr>
              <w:pStyle w:val="style0"/>
              <w:numPr>
                <w:ilvl w:val="0"/>
                <w:numId w:val="8"/>
              </w:numPr>
              <w:contextualSpacing/>
              <w:rPr>
                <w:rFonts w:ascii="Tw Cen MT" w:eastAsia="Calibri" w:hAnsi="Tw Cen MT"/>
                <w:sz w:val="16"/>
                <w:szCs w:val="16"/>
              </w:rPr>
            </w:pPr>
            <w:r>
              <w:rPr>
                <w:rFonts w:ascii="Tw Cen MT" w:eastAsia="Calibri" w:hAnsi="Tw Cen MT"/>
                <w:sz w:val="16"/>
                <w:szCs w:val="16"/>
              </w:rPr>
              <w:t xml:space="preserve">Pendidikan </w:t>
            </w:r>
            <w:r>
              <w:rPr>
                <w:rFonts w:ascii="Tw Cen MT" w:eastAsia="Calibri" w:hAnsi="Tw Cen MT"/>
                <w:sz w:val="16"/>
                <w:szCs w:val="16"/>
              </w:rPr>
              <w:t>tinggi</w:t>
            </w:r>
          </w:p>
          <w:p>
            <w:pPr>
              <w:pStyle w:val="style0"/>
              <w:numPr>
                <w:ilvl w:val="0"/>
                <w:numId w:val="8"/>
              </w:numPr>
              <w:contextualSpacing/>
              <w:rPr>
                <w:rFonts w:ascii="Tw Cen MT" w:eastAsia="Calibri" w:hAnsi="Tw Cen MT"/>
                <w:sz w:val="16"/>
                <w:szCs w:val="16"/>
              </w:rPr>
            </w:pPr>
            <w:r>
              <w:rPr>
                <w:rFonts w:ascii="Tw Cen MT" w:eastAsia="Calibri" w:hAnsi="Tw Cen MT"/>
                <w:sz w:val="16"/>
                <w:szCs w:val="16"/>
              </w:rPr>
              <w:t xml:space="preserve">Pendidikan </w:t>
            </w:r>
            <w:r>
              <w:rPr>
                <w:rFonts w:ascii="Tw Cen MT" w:eastAsia="Calibri" w:hAnsi="Tw Cen MT"/>
                <w:sz w:val="16"/>
                <w:szCs w:val="16"/>
              </w:rPr>
              <w:t>rendah</w:t>
            </w:r>
          </w:p>
          <w:p>
            <w:pPr>
              <w:pStyle w:val="style0"/>
              <w:ind w:left="720"/>
              <w:contextualSpacing/>
              <w:rPr>
                <w:rFonts w:ascii="Tw Cen MT" w:eastAsia="Calibri" w:hAnsi="Tw Cen MT"/>
                <w:sz w:val="16"/>
                <w:szCs w:val="16"/>
              </w:rPr>
            </w:pPr>
          </w:p>
        </w:tc>
        <w:tc>
          <w:tcPr>
            <w:tcW w:w="2254" w:type="dxa"/>
            <w:tcBorders>
              <w:left w:val="nil"/>
              <w:right w:val="nil"/>
            </w:tcBorders>
          </w:tcPr>
          <w:p>
            <w:pPr>
              <w:pStyle w:val="style0"/>
              <w:jc w:val="center"/>
              <w:contextualSpacing/>
              <w:rPr>
                <w:rFonts w:ascii="Tw Cen MT" w:eastAsia="Calibri" w:hAnsi="Tw Cen MT"/>
                <w:sz w:val="16"/>
                <w:szCs w:val="16"/>
              </w:rPr>
            </w:pPr>
          </w:p>
          <w:p>
            <w:pPr>
              <w:pStyle w:val="style0"/>
              <w:jc w:val="center"/>
              <w:contextualSpacing/>
              <w:rPr>
                <w:rFonts w:ascii="Tw Cen MT" w:eastAsia="Calibri" w:hAnsi="Tw Cen MT"/>
                <w:sz w:val="16"/>
                <w:szCs w:val="16"/>
              </w:rPr>
            </w:pPr>
            <w:r>
              <w:rPr>
                <w:rFonts w:ascii="Tw Cen MT" w:eastAsia="Calibri" w:hAnsi="Tw Cen MT"/>
                <w:sz w:val="16"/>
                <w:szCs w:val="16"/>
              </w:rPr>
              <w:t>71</w:t>
            </w:r>
          </w:p>
          <w:p>
            <w:pPr>
              <w:pStyle w:val="style0"/>
              <w:jc w:val="center"/>
              <w:contextualSpacing/>
              <w:rPr>
                <w:rFonts w:ascii="Tw Cen MT" w:eastAsia="Calibri" w:hAnsi="Tw Cen MT"/>
                <w:sz w:val="16"/>
                <w:szCs w:val="16"/>
              </w:rPr>
            </w:pPr>
            <w:r>
              <w:rPr>
                <w:rFonts w:ascii="Tw Cen MT" w:eastAsia="Calibri" w:hAnsi="Tw Cen MT"/>
                <w:sz w:val="16"/>
                <w:szCs w:val="16"/>
              </w:rPr>
              <w:t>18</w:t>
            </w:r>
          </w:p>
        </w:tc>
        <w:tc>
          <w:tcPr>
            <w:tcW w:w="2254" w:type="dxa"/>
            <w:tcBorders>
              <w:left w:val="nil"/>
              <w:right w:val="nil"/>
            </w:tcBorders>
          </w:tcPr>
          <w:p>
            <w:pPr>
              <w:pStyle w:val="style0"/>
              <w:jc w:val="center"/>
              <w:contextualSpacing/>
              <w:rPr>
                <w:rFonts w:ascii="Tw Cen MT" w:eastAsia="Calibri" w:hAnsi="Tw Cen MT"/>
                <w:sz w:val="16"/>
                <w:szCs w:val="16"/>
              </w:rPr>
            </w:pPr>
          </w:p>
          <w:p>
            <w:pPr>
              <w:pStyle w:val="style0"/>
              <w:jc w:val="center"/>
              <w:contextualSpacing/>
              <w:rPr>
                <w:rFonts w:ascii="Tw Cen MT" w:eastAsia="Calibri" w:hAnsi="Tw Cen MT"/>
                <w:sz w:val="16"/>
                <w:szCs w:val="16"/>
              </w:rPr>
            </w:pPr>
            <w:r>
              <w:rPr>
                <w:rFonts w:ascii="Tw Cen MT" w:eastAsia="Calibri" w:hAnsi="Tw Cen MT"/>
                <w:sz w:val="16"/>
                <w:szCs w:val="16"/>
              </w:rPr>
              <w:t>79,8</w:t>
            </w:r>
          </w:p>
          <w:p>
            <w:pPr>
              <w:pStyle w:val="style0"/>
              <w:jc w:val="center"/>
              <w:contextualSpacing/>
              <w:rPr>
                <w:rFonts w:ascii="Tw Cen MT" w:eastAsia="Calibri" w:hAnsi="Tw Cen MT"/>
                <w:sz w:val="16"/>
                <w:szCs w:val="16"/>
              </w:rPr>
            </w:pPr>
            <w:r>
              <w:rPr>
                <w:rFonts w:ascii="Tw Cen MT" w:eastAsia="Calibri" w:hAnsi="Tw Cen MT"/>
                <w:sz w:val="16"/>
                <w:szCs w:val="16"/>
              </w:rPr>
              <w:t>20,2</w:t>
            </w:r>
          </w:p>
        </w:tc>
      </w:tr>
      <w:tr>
        <w:tblPrEx/>
        <w:trPr>
          <w:jc w:val="center"/>
        </w:trPr>
        <w:tc>
          <w:tcPr>
            <w:tcW w:w="2254" w:type="dxa"/>
            <w:tcBorders>
              <w:left w:val="nil"/>
              <w:right w:val="nil"/>
            </w:tcBorders>
          </w:tcPr>
          <w:p>
            <w:pPr>
              <w:pStyle w:val="style0"/>
              <w:contextualSpacing/>
              <w:rPr>
                <w:rFonts w:ascii="Tw Cen MT" w:eastAsia="Calibri" w:hAnsi="Tw Cen MT"/>
                <w:sz w:val="16"/>
                <w:szCs w:val="16"/>
              </w:rPr>
            </w:pPr>
            <w:r>
              <w:rPr>
                <w:rFonts w:ascii="Tw Cen MT" w:eastAsia="Calibri" w:hAnsi="Tw Cen MT"/>
                <w:sz w:val="16"/>
                <w:szCs w:val="16"/>
              </w:rPr>
              <w:t>Pekerjaan</w:t>
            </w:r>
            <w:r>
              <w:rPr>
                <w:rFonts w:ascii="Tw Cen MT" w:eastAsia="Calibri" w:hAnsi="Tw Cen MT"/>
                <w:sz w:val="16"/>
                <w:szCs w:val="16"/>
              </w:rPr>
              <w:t xml:space="preserve"> :</w:t>
            </w:r>
          </w:p>
          <w:p>
            <w:pPr>
              <w:pStyle w:val="style0"/>
              <w:numPr>
                <w:ilvl w:val="0"/>
                <w:numId w:val="9"/>
              </w:numPr>
              <w:contextualSpacing/>
              <w:rPr>
                <w:rFonts w:ascii="Tw Cen MT" w:eastAsia="Calibri" w:hAnsi="Tw Cen MT"/>
                <w:sz w:val="16"/>
                <w:szCs w:val="16"/>
              </w:rPr>
            </w:pPr>
            <w:r>
              <w:rPr>
                <w:rFonts w:ascii="Tw Cen MT" w:eastAsia="Calibri" w:hAnsi="Tw Cen MT"/>
                <w:sz w:val="16"/>
                <w:szCs w:val="16"/>
              </w:rPr>
              <w:t>Bekerja</w:t>
            </w:r>
          </w:p>
          <w:p>
            <w:pPr>
              <w:pStyle w:val="style0"/>
              <w:numPr>
                <w:ilvl w:val="0"/>
                <w:numId w:val="9"/>
              </w:numPr>
              <w:contextualSpacing/>
              <w:rPr>
                <w:rFonts w:ascii="Tw Cen MT" w:eastAsia="Calibri" w:hAnsi="Tw Cen MT"/>
                <w:sz w:val="16"/>
                <w:szCs w:val="16"/>
              </w:rPr>
            </w:pPr>
            <w:r>
              <w:rPr>
                <w:rFonts w:ascii="Tw Cen MT" w:eastAsia="Calibri" w:hAnsi="Tw Cen MT"/>
                <w:sz w:val="16"/>
                <w:szCs w:val="16"/>
              </w:rPr>
              <w:t xml:space="preserve">Tidak </w:t>
            </w:r>
            <w:r>
              <w:rPr>
                <w:rFonts w:ascii="Tw Cen MT" w:eastAsia="Calibri" w:hAnsi="Tw Cen MT"/>
                <w:sz w:val="16"/>
                <w:szCs w:val="16"/>
              </w:rPr>
              <w:t>Bekerja</w:t>
            </w:r>
          </w:p>
          <w:p>
            <w:pPr>
              <w:pStyle w:val="style0"/>
              <w:ind w:left="720"/>
              <w:contextualSpacing/>
              <w:rPr>
                <w:rFonts w:ascii="Tw Cen MT" w:eastAsia="Calibri" w:hAnsi="Tw Cen MT"/>
                <w:sz w:val="16"/>
                <w:szCs w:val="16"/>
              </w:rPr>
            </w:pPr>
          </w:p>
        </w:tc>
        <w:tc>
          <w:tcPr>
            <w:tcW w:w="2254" w:type="dxa"/>
            <w:tcBorders>
              <w:left w:val="nil"/>
              <w:right w:val="nil"/>
            </w:tcBorders>
          </w:tcPr>
          <w:p>
            <w:pPr>
              <w:pStyle w:val="style0"/>
              <w:jc w:val="center"/>
              <w:contextualSpacing/>
              <w:rPr>
                <w:rFonts w:ascii="Tw Cen MT" w:eastAsia="Calibri" w:hAnsi="Tw Cen MT"/>
                <w:sz w:val="16"/>
                <w:szCs w:val="16"/>
              </w:rPr>
            </w:pPr>
          </w:p>
          <w:p>
            <w:pPr>
              <w:pStyle w:val="style0"/>
              <w:jc w:val="center"/>
              <w:contextualSpacing/>
              <w:rPr>
                <w:rFonts w:ascii="Tw Cen MT" w:eastAsia="Calibri" w:hAnsi="Tw Cen MT"/>
                <w:sz w:val="16"/>
                <w:szCs w:val="16"/>
              </w:rPr>
            </w:pPr>
            <w:r>
              <w:rPr>
                <w:rFonts w:ascii="Tw Cen MT" w:eastAsia="Calibri" w:hAnsi="Tw Cen MT"/>
                <w:sz w:val="16"/>
                <w:szCs w:val="16"/>
              </w:rPr>
              <w:t>18</w:t>
            </w:r>
          </w:p>
          <w:p>
            <w:pPr>
              <w:pStyle w:val="style0"/>
              <w:jc w:val="center"/>
              <w:contextualSpacing/>
              <w:rPr>
                <w:rFonts w:ascii="Tw Cen MT" w:eastAsia="Calibri" w:hAnsi="Tw Cen MT"/>
                <w:sz w:val="16"/>
                <w:szCs w:val="16"/>
              </w:rPr>
            </w:pPr>
            <w:r>
              <w:rPr>
                <w:rFonts w:ascii="Tw Cen MT" w:eastAsia="Calibri" w:hAnsi="Tw Cen MT"/>
                <w:sz w:val="16"/>
                <w:szCs w:val="16"/>
              </w:rPr>
              <w:t>71</w:t>
            </w:r>
          </w:p>
        </w:tc>
        <w:tc>
          <w:tcPr>
            <w:tcW w:w="2254" w:type="dxa"/>
            <w:tcBorders>
              <w:left w:val="nil"/>
              <w:right w:val="nil"/>
            </w:tcBorders>
          </w:tcPr>
          <w:p>
            <w:pPr>
              <w:pStyle w:val="style0"/>
              <w:jc w:val="center"/>
              <w:contextualSpacing/>
              <w:rPr>
                <w:rFonts w:ascii="Tw Cen MT" w:eastAsia="Calibri" w:hAnsi="Tw Cen MT"/>
                <w:sz w:val="16"/>
                <w:szCs w:val="16"/>
              </w:rPr>
            </w:pPr>
          </w:p>
          <w:p>
            <w:pPr>
              <w:pStyle w:val="style0"/>
              <w:jc w:val="center"/>
              <w:contextualSpacing/>
              <w:rPr>
                <w:rFonts w:ascii="Tw Cen MT" w:eastAsia="Calibri" w:hAnsi="Tw Cen MT"/>
                <w:sz w:val="16"/>
                <w:szCs w:val="16"/>
              </w:rPr>
            </w:pPr>
            <w:r>
              <w:rPr>
                <w:rFonts w:ascii="Tw Cen MT" w:eastAsia="Calibri" w:hAnsi="Tw Cen MT"/>
                <w:sz w:val="16"/>
                <w:szCs w:val="16"/>
              </w:rPr>
              <w:t>20,2</w:t>
            </w:r>
          </w:p>
          <w:p>
            <w:pPr>
              <w:pStyle w:val="style0"/>
              <w:jc w:val="center"/>
              <w:contextualSpacing/>
              <w:rPr>
                <w:rFonts w:ascii="Tw Cen MT" w:eastAsia="Calibri" w:hAnsi="Tw Cen MT"/>
                <w:sz w:val="16"/>
                <w:szCs w:val="16"/>
              </w:rPr>
            </w:pPr>
            <w:r>
              <w:rPr>
                <w:rFonts w:ascii="Tw Cen MT" w:eastAsia="Calibri" w:hAnsi="Tw Cen MT"/>
                <w:sz w:val="16"/>
                <w:szCs w:val="16"/>
              </w:rPr>
              <w:t>79,8</w:t>
            </w:r>
          </w:p>
        </w:tc>
      </w:tr>
      <w:tr>
        <w:tblPrEx/>
        <w:trPr>
          <w:jc w:val="center"/>
        </w:trPr>
        <w:tc>
          <w:tcPr>
            <w:tcW w:w="2254" w:type="dxa"/>
            <w:tcBorders>
              <w:left w:val="nil"/>
              <w:right w:val="nil"/>
            </w:tcBorders>
          </w:tcPr>
          <w:p>
            <w:pPr>
              <w:pStyle w:val="style0"/>
              <w:contextualSpacing/>
              <w:rPr>
                <w:rFonts w:ascii="Tw Cen MT" w:eastAsia="Calibri" w:hAnsi="Tw Cen MT"/>
                <w:sz w:val="16"/>
                <w:szCs w:val="16"/>
              </w:rPr>
            </w:pPr>
            <w:r>
              <w:rPr>
                <w:rFonts w:ascii="Tw Cen MT" w:eastAsia="Calibri" w:hAnsi="Tw Cen MT"/>
                <w:sz w:val="16"/>
                <w:szCs w:val="16"/>
              </w:rPr>
              <w:t xml:space="preserve">Status </w:t>
            </w:r>
            <w:r>
              <w:rPr>
                <w:rFonts w:ascii="Tw Cen MT" w:eastAsia="Calibri" w:hAnsi="Tw Cen MT"/>
                <w:sz w:val="16"/>
                <w:szCs w:val="16"/>
              </w:rPr>
              <w:t>Anak :</w:t>
            </w:r>
          </w:p>
          <w:p>
            <w:pPr>
              <w:pStyle w:val="style0"/>
              <w:numPr>
                <w:ilvl w:val="0"/>
                <w:numId w:val="10"/>
              </w:numPr>
              <w:contextualSpacing/>
              <w:rPr>
                <w:rFonts w:ascii="Tw Cen MT" w:eastAsia="Calibri" w:hAnsi="Tw Cen MT"/>
                <w:sz w:val="16"/>
                <w:szCs w:val="16"/>
              </w:rPr>
            </w:pPr>
            <w:r>
              <w:rPr>
                <w:rFonts w:ascii="Tw Cen MT" w:eastAsia="Calibri" w:hAnsi="Tw Cen MT"/>
                <w:sz w:val="16"/>
                <w:szCs w:val="16"/>
              </w:rPr>
              <w:t>Stunting</w:t>
            </w:r>
          </w:p>
          <w:p>
            <w:pPr>
              <w:pStyle w:val="style0"/>
              <w:numPr>
                <w:ilvl w:val="0"/>
                <w:numId w:val="10"/>
              </w:numPr>
              <w:contextualSpacing/>
              <w:rPr>
                <w:rFonts w:ascii="Tw Cen MT" w:eastAsia="Calibri" w:hAnsi="Tw Cen MT"/>
                <w:sz w:val="16"/>
                <w:szCs w:val="16"/>
              </w:rPr>
            </w:pPr>
            <w:r>
              <w:rPr>
                <w:rFonts w:ascii="Tw Cen MT" w:eastAsia="Calibri" w:hAnsi="Tw Cen MT"/>
                <w:sz w:val="16"/>
                <w:szCs w:val="16"/>
              </w:rPr>
              <w:t>Tidak Stunting</w:t>
            </w:r>
          </w:p>
        </w:tc>
        <w:tc>
          <w:tcPr>
            <w:tcW w:w="2254" w:type="dxa"/>
            <w:tcBorders>
              <w:left w:val="nil"/>
              <w:right w:val="nil"/>
            </w:tcBorders>
          </w:tcPr>
          <w:p>
            <w:pPr>
              <w:pStyle w:val="style0"/>
              <w:jc w:val="center"/>
              <w:contextualSpacing/>
              <w:rPr>
                <w:rFonts w:ascii="Tw Cen MT" w:eastAsia="Calibri" w:hAnsi="Tw Cen MT"/>
                <w:sz w:val="16"/>
                <w:szCs w:val="16"/>
              </w:rPr>
            </w:pPr>
          </w:p>
          <w:p>
            <w:pPr>
              <w:pStyle w:val="style0"/>
              <w:jc w:val="center"/>
              <w:contextualSpacing/>
              <w:rPr>
                <w:rFonts w:ascii="Tw Cen MT" w:eastAsia="Calibri" w:hAnsi="Tw Cen MT"/>
                <w:sz w:val="16"/>
                <w:szCs w:val="16"/>
              </w:rPr>
            </w:pPr>
            <w:r>
              <w:rPr>
                <w:rFonts w:ascii="Tw Cen MT" w:eastAsia="Calibri" w:hAnsi="Tw Cen MT"/>
                <w:sz w:val="16"/>
                <w:szCs w:val="16"/>
              </w:rPr>
              <w:t>10</w:t>
            </w:r>
          </w:p>
          <w:p>
            <w:pPr>
              <w:pStyle w:val="style0"/>
              <w:jc w:val="center"/>
              <w:contextualSpacing/>
              <w:rPr>
                <w:rFonts w:ascii="Tw Cen MT" w:eastAsia="Calibri" w:hAnsi="Tw Cen MT"/>
                <w:sz w:val="16"/>
                <w:szCs w:val="16"/>
              </w:rPr>
            </w:pPr>
            <w:r>
              <w:rPr>
                <w:rFonts w:ascii="Tw Cen MT" w:eastAsia="Calibri" w:hAnsi="Tw Cen MT"/>
                <w:sz w:val="16"/>
                <w:szCs w:val="16"/>
              </w:rPr>
              <w:t>78</w:t>
            </w:r>
          </w:p>
        </w:tc>
        <w:tc>
          <w:tcPr>
            <w:tcW w:w="2254" w:type="dxa"/>
            <w:tcBorders>
              <w:left w:val="nil"/>
              <w:right w:val="nil"/>
            </w:tcBorders>
          </w:tcPr>
          <w:p>
            <w:pPr>
              <w:pStyle w:val="style0"/>
              <w:jc w:val="center"/>
              <w:contextualSpacing/>
              <w:rPr>
                <w:rFonts w:ascii="Tw Cen MT" w:eastAsia="Calibri" w:hAnsi="Tw Cen MT"/>
                <w:sz w:val="16"/>
                <w:szCs w:val="16"/>
              </w:rPr>
            </w:pPr>
          </w:p>
          <w:p>
            <w:pPr>
              <w:pStyle w:val="style0"/>
              <w:jc w:val="center"/>
              <w:contextualSpacing/>
              <w:rPr>
                <w:rFonts w:ascii="Tw Cen MT" w:eastAsia="Calibri" w:hAnsi="Tw Cen MT"/>
                <w:sz w:val="16"/>
                <w:szCs w:val="16"/>
              </w:rPr>
            </w:pPr>
            <w:r>
              <w:rPr>
                <w:rFonts w:ascii="Tw Cen MT" w:eastAsia="Calibri" w:hAnsi="Tw Cen MT"/>
                <w:sz w:val="16"/>
                <w:szCs w:val="16"/>
              </w:rPr>
              <w:t>11,2</w:t>
            </w:r>
          </w:p>
          <w:p>
            <w:pPr>
              <w:pStyle w:val="style0"/>
              <w:jc w:val="center"/>
              <w:contextualSpacing/>
              <w:rPr>
                <w:rFonts w:ascii="Tw Cen MT" w:eastAsia="Calibri" w:hAnsi="Tw Cen MT"/>
                <w:sz w:val="16"/>
                <w:szCs w:val="16"/>
              </w:rPr>
            </w:pPr>
            <w:r>
              <w:rPr>
                <w:rFonts w:ascii="Tw Cen MT" w:eastAsia="Calibri" w:hAnsi="Tw Cen MT"/>
                <w:sz w:val="16"/>
                <w:szCs w:val="16"/>
              </w:rPr>
              <w:t>88,8</w:t>
            </w:r>
          </w:p>
          <w:p>
            <w:pPr>
              <w:pStyle w:val="style0"/>
              <w:jc w:val="center"/>
              <w:contextualSpacing/>
              <w:rPr>
                <w:rFonts w:ascii="Tw Cen MT" w:eastAsia="Calibri" w:hAnsi="Tw Cen MT"/>
                <w:sz w:val="16"/>
                <w:szCs w:val="16"/>
              </w:rPr>
            </w:pPr>
          </w:p>
        </w:tc>
      </w:tr>
      <w:tr>
        <w:tblPrEx/>
        <w:trPr>
          <w:jc w:val="center"/>
        </w:trPr>
        <w:tc>
          <w:tcPr>
            <w:tcW w:w="2254" w:type="dxa"/>
            <w:tcBorders>
              <w:left w:val="nil"/>
              <w:right w:val="nil"/>
            </w:tcBorders>
          </w:tcPr>
          <w:p>
            <w:pPr>
              <w:pStyle w:val="style0"/>
              <w:contextualSpacing/>
              <w:rPr>
                <w:rFonts w:ascii="Tw Cen MT" w:eastAsia="Calibri" w:hAnsi="Tw Cen MT"/>
                <w:sz w:val="16"/>
                <w:szCs w:val="16"/>
              </w:rPr>
            </w:pPr>
            <w:r>
              <w:rPr>
                <w:rFonts w:ascii="Tw Cen MT" w:eastAsia="Calibri" w:hAnsi="Tw Cen MT"/>
                <w:sz w:val="16"/>
                <w:szCs w:val="16"/>
              </w:rPr>
              <w:t>Mekanisme</w:t>
            </w:r>
            <w:r>
              <w:rPr>
                <w:rFonts w:ascii="Tw Cen MT" w:eastAsia="Calibri" w:hAnsi="Tw Cen MT"/>
                <w:sz w:val="16"/>
                <w:szCs w:val="16"/>
              </w:rPr>
              <w:t xml:space="preserve"> </w:t>
            </w:r>
            <w:r>
              <w:rPr>
                <w:rFonts w:ascii="Tw Cen MT" w:eastAsia="Calibri" w:hAnsi="Tw Cen MT"/>
                <w:sz w:val="16"/>
                <w:szCs w:val="16"/>
              </w:rPr>
              <w:t>Koping</w:t>
            </w:r>
            <w:r>
              <w:rPr>
                <w:rFonts w:ascii="Tw Cen MT" w:eastAsia="Calibri" w:hAnsi="Tw Cen MT"/>
                <w:sz w:val="16"/>
                <w:szCs w:val="16"/>
              </w:rPr>
              <w:t xml:space="preserve"> :</w:t>
            </w:r>
          </w:p>
          <w:p>
            <w:pPr>
              <w:pStyle w:val="style0"/>
              <w:numPr>
                <w:ilvl w:val="0"/>
                <w:numId w:val="11"/>
              </w:numPr>
              <w:contextualSpacing/>
              <w:rPr>
                <w:rFonts w:ascii="Tw Cen MT" w:eastAsia="Calibri" w:hAnsi="Tw Cen MT"/>
                <w:sz w:val="16"/>
                <w:szCs w:val="16"/>
              </w:rPr>
            </w:pPr>
            <w:r>
              <w:rPr>
                <w:rFonts w:ascii="Tw Cen MT" w:eastAsia="Calibri" w:hAnsi="Tw Cen MT"/>
                <w:sz w:val="16"/>
                <w:szCs w:val="16"/>
              </w:rPr>
              <w:t>Adaptif</w:t>
            </w:r>
          </w:p>
          <w:p>
            <w:pPr>
              <w:pStyle w:val="style0"/>
              <w:numPr>
                <w:ilvl w:val="0"/>
                <w:numId w:val="11"/>
              </w:numPr>
              <w:contextualSpacing/>
              <w:rPr>
                <w:rFonts w:ascii="Tw Cen MT" w:eastAsia="Calibri" w:hAnsi="Tw Cen MT"/>
                <w:sz w:val="16"/>
                <w:szCs w:val="16"/>
              </w:rPr>
            </w:pPr>
            <w:r>
              <w:rPr>
                <w:rFonts w:ascii="Tw Cen MT" w:eastAsia="Calibri" w:hAnsi="Tw Cen MT"/>
                <w:sz w:val="16"/>
                <w:szCs w:val="16"/>
              </w:rPr>
              <w:t>Maladaptif</w:t>
            </w:r>
          </w:p>
        </w:tc>
        <w:tc>
          <w:tcPr>
            <w:tcW w:w="2254" w:type="dxa"/>
            <w:tcBorders>
              <w:left w:val="nil"/>
              <w:right w:val="nil"/>
            </w:tcBorders>
          </w:tcPr>
          <w:p>
            <w:pPr>
              <w:pStyle w:val="style0"/>
              <w:jc w:val="center"/>
              <w:contextualSpacing/>
              <w:rPr>
                <w:rFonts w:ascii="Tw Cen MT" w:eastAsia="Calibri" w:hAnsi="Tw Cen MT"/>
                <w:sz w:val="16"/>
                <w:szCs w:val="16"/>
              </w:rPr>
            </w:pPr>
          </w:p>
          <w:p>
            <w:pPr>
              <w:pStyle w:val="style0"/>
              <w:jc w:val="center"/>
              <w:contextualSpacing/>
              <w:rPr>
                <w:rFonts w:ascii="Tw Cen MT" w:eastAsia="Calibri" w:hAnsi="Tw Cen MT"/>
                <w:sz w:val="16"/>
                <w:szCs w:val="16"/>
              </w:rPr>
            </w:pPr>
            <w:r>
              <w:rPr>
                <w:rFonts w:ascii="Tw Cen MT" w:eastAsia="Calibri" w:hAnsi="Tw Cen MT"/>
                <w:sz w:val="16"/>
                <w:szCs w:val="16"/>
              </w:rPr>
              <w:t>68</w:t>
            </w:r>
          </w:p>
          <w:p>
            <w:pPr>
              <w:pStyle w:val="style0"/>
              <w:jc w:val="center"/>
              <w:contextualSpacing/>
              <w:rPr>
                <w:rFonts w:ascii="Tw Cen MT" w:eastAsia="Calibri" w:hAnsi="Tw Cen MT"/>
                <w:sz w:val="16"/>
                <w:szCs w:val="16"/>
              </w:rPr>
            </w:pPr>
            <w:r>
              <w:rPr>
                <w:rFonts w:ascii="Tw Cen MT" w:eastAsia="Calibri" w:hAnsi="Tw Cen MT"/>
                <w:sz w:val="16"/>
                <w:szCs w:val="16"/>
              </w:rPr>
              <w:t>21</w:t>
            </w:r>
          </w:p>
        </w:tc>
        <w:tc>
          <w:tcPr>
            <w:tcW w:w="2254" w:type="dxa"/>
            <w:tcBorders>
              <w:left w:val="nil"/>
              <w:right w:val="nil"/>
            </w:tcBorders>
          </w:tcPr>
          <w:p>
            <w:pPr>
              <w:pStyle w:val="style0"/>
              <w:jc w:val="center"/>
              <w:contextualSpacing/>
              <w:rPr>
                <w:rFonts w:ascii="Tw Cen MT" w:eastAsia="Calibri" w:hAnsi="Tw Cen MT"/>
                <w:sz w:val="16"/>
                <w:szCs w:val="16"/>
              </w:rPr>
            </w:pPr>
          </w:p>
          <w:p>
            <w:pPr>
              <w:pStyle w:val="style0"/>
              <w:jc w:val="center"/>
              <w:contextualSpacing/>
              <w:rPr>
                <w:rFonts w:ascii="Tw Cen MT" w:eastAsia="Calibri" w:hAnsi="Tw Cen MT"/>
                <w:sz w:val="16"/>
                <w:szCs w:val="16"/>
              </w:rPr>
            </w:pPr>
            <w:r>
              <w:rPr>
                <w:rFonts w:ascii="Tw Cen MT" w:eastAsia="Calibri" w:hAnsi="Tw Cen MT"/>
                <w:sz w:val="16"/>
                <w:szCs w:val="16"/>
              </w:rPr>
              <w:t>76,4</w:t>
            </w:r>
          </w:p>
          <w:p>
            <w:pPr>
              <w:pStyle w:val="style0"/>
              <w:jc w:val="center"/>
              <w:contextualSpacing/>
              <w:rPr>
                <w:rFonts w:ascii="Tw Cen MT" w:eastAsia="Calibri" w:hAnsi="Tw Cen MT"/>
                <w:sz w:val="16"/>
                <w:szCs w:val="16"/>
              </w:rPr>
            </w:pPr>
            <w:r>
              <w:rPr>
                <w:rFonts w:ascii="Tw Cen MT" w:eastAsia="Calibri" w:hAnsi="Tw Cen MT"/>
                <w:sz w:val="16"/>
                <w:szCs w:val="16"/>
              </w:rPr>
              <w:t>23,6</w:t>
            </w:r>
          </w:p>
        </w:tc>
      </w:tr>
    </w:tbl>
    <w:p>
      <w:pPr>
        <w:pStyle w:val="style0"/>
        <w:spacing w:after="0" w:lineRule="auto" w:line="240"/>
        <w:jc w:val="both"/>
        <w:rPr>
          <w:rFonts w:ascii="Tw Cen MT" w:hAnsi="Tw Cen MT"/>
          <w:sz w:val="24"/>
          <w:szCs w:val="24"/>
        </w:rPr>
      </w:pPr>
    </w:p>
    <w:p>
      <w:pPr>
        <w:pStyle w:val="style0"/>
        <w:jc w:val="both"/>
        <w:rPr>
          <w:rFonts w:ascii="Tw Cen MT" w:cs="Times New Roman" w:hAnsi="Tw Cen MT"/>
          <w:color w:val="374151"/>
          <w:sz w:val="24"/>
          <w:szCs w:val="24"/>
          <w:shd w:val="clear" w:color="auto" w:fill="f7f7f8"/>
        </w:rPr>
      </w:pPr>
      <w:r>
        <w:rPr>
          <w:rFonts w:ascii="Tw Cen MT" w:cs="Times New Roman" w:hAnsi="Tw Cen MT"/>
          <w:sz w:val="24"/>
          <w:szCs w:val="24"/>
        </w:rPr>
        <w:t>Berdasarkan</w:t>
      </w:r>
      <w:r>
        <w:rPr>
          <w:rFonts w:ascii="Tw Cen MT" w:cs="Times New Roman" w:hAnsi="Tw Cen MT"/>
          <w:sz w:val="24"/>
          <w:szCs w:val="24"/>
        </w:rPr>
        <w:t xml:space="preserve"> </w:t>
      </w:r>
      <w:r>
        <w:rPr>
          <w:rFonts w:ascii="Tw Cen MT" w:cs="Times New Roman" w:hAnsi="Tw Cen MT"/>
          <w:sz w:val="24"/>
          <w:szCs w:val="24"/>
        </w:rPr>
        <w:t>tabel</w:t>
      </w:r>
      <w:r>
        <w:rPr>
          <w:rFonts w:ascii="Tw Cen MT" w:cs="Times New Roman" w:hAnsi="Tw Cen MT"/>
          <w:sz w:val="24"/>
          <w:szCs w:val="24"/>
        </w:rPr>
        <w:t xml:space="preserve"> 1 </w:t>
      </w:r>
      <w:r>
        <w:rPr>
          <w:rFonts w:ascii="Tw Cen MT" w:cs="Times New Roman" w:hAnsi="Tw Cen MT"/>
          <w:sz w:val="24"/>
          <w:szCs w:val="24"/>
        </w:rPr>
        <w:t>dapat</w:t>
      </w:r>
      <w:r>
        <w:rPr>
          <w:rFonts w:ascii="Tw Cen MT" w:cs="Times New Roman" w:hAnsi="Tw Cen MT"/>
          <w:sz w:val="24"/>
          <w:szCs w:val="24"/>
        </w:rPr>
        <w:t xml:space="preserve"> </w:t>
      </w:r>
      <w:r>
        <w:rPr>
          <w:rFonts w:ascii="Tw Cen MT" w:cs="Times New Roman" w:hAnsi="Tw Cen MT"/>
          <w:sz w:val="24"/>
          <w:szCs w:val="24"/>
        </w:rPr>
        <w:t>diketahui</w:t>
      </w:r>
      <w:r>
        <w:rPr>
          <w:rFonts w:ascii="Tw Cen MT" w:cs="Times New Roman" w:hAnsi="Tw Cen MT"/>
          <w:sz w:val="24"/>
          <w:szCs w:val="24"/>
        </w:rPr>
        <w:t xml:space="preserve"> </w:t>
      </w:r>
      <w:r>
        <w:rPr>
          <w:rFonts w:ascii="Tw Cen MT" w:cs="Times New Roman" w:hAnsi="Tw Cen MT"/>
          <w:sz w:val="24"/>
          <w:szCs w:val="24"/>
        </w:rPr>
        <w:t>bahwa</w:t>
      </w:r>
      <w:r>
        <w:rPr>
          <w:rFonts w:ascii="Tw Cen MT" w:cs="Times New Roman" w:hAnsi="Tw Cen MT"/>
          <w:sz w:val="24"/>
          <w:szCs w:val="24"/>
        </w:rPr>
        <w:t xml:space="preserve"> </w:t>
      </w:r>
      <w:r>
        <w:rPr>
          <w:rFonts w:ascii="Tw Cen MT" w:cs="Times New Roman" w:hAnsi="Tw Cen MT"/>
          <w:sz w:val="24"/>
          <w:szCs w:val="24"/>
        </w:rPr>
        <w:t>bentuk</w:t>
      </w:r>
      <w:r>
        <w:rPr>
          <w:rFonts w:ascii="Tw Cen MT" w:cs="Times New Roman" w:hAnsi="Tw Cen MT"/>
          <w:sz w:val="24"/>
          <w:szCs w:val="24"/>
        </w:rPr>
        <w:t xml:space="preserve"> </w:t>
      </w:r>
      <w:r>
        <w:rPr>
          <w:rFonts w:ascii="Tw Cen MT" w:cs="Times New Roman" w:hAnsi="Tw Cen MT"/>
          <w:sz w:val="24"/>
          <w:szCs w:val="24"/>
        </w:rPr>
        <w:t>keluarga</w:t>
      </w:r>
      <w:r>
        <w:rPr>
          <w:rFonts w:ascii="Tw Cen MT" w:cs="Times New Roman" w:hAnsi="Tw Cen MT"/>
          <w:sz w:val="24"/>
          <w:szCs w:val="24"/>
        </w:rPr>
        <w:t xml:space="preserve"> </w:t>
      </w:r>
      <w:r>
        <w:rPr>
          <w:rFonts w:ascii="Tw Cen MT" w:cs="Times New Roman" w:hAnsi="Tw Cen MT"/>
          <w:sz w:val="24"/>
          <w:szCs w:val="24"/>
        </w:rPr>
        <w:t>terbanyak</w:t>
      </w:r>
      <w:r>
        <w:rPr>
          <w:rFonts w:ascii="Tw Cen MT" w:cs="Times New Roman" w:hAnsi="Tw Cen MT"/>
          <w:sz w:val="24"/>
          <w:szCs w:val="24"/>
        </w:rPr>
        <w:t xml:space="preserve"> </w:t>
      </w:r>
      <w:r>
        <w:rPr>
          <w:rFonts w:ascii="Tw Cen MT" w:cs="Times New Roman" w:hAnsi="Tw Cen MT"/>
          <w:sz w:val="24"/>
          <w:szCs w:val="24"/>
        </w:rPr>
        <w:t>dari</w:t>
      </w:r>
      <w:r>
        <w:rPr>
          <w:rFonts w:ascii="Tw Cen MT" w:cs="Times New Roman" w:hAnsi="Tw Cen MT"/>
          <w:sz w:val="24"/>
          <w:szCs w:val="24"/>
        </w:rPr>
        <w:t xml:space="preserve"> </w:t>
      </w:r>
      <w:r>
        <w:rPr>
          <w:rFonts w:ascii="Tw Cen MT" w:cs="Times New Roman" w:hAnsi="Tw Cen MT"/>
          <w:sz w:val="24"/>
          <w:szCs w:val="24"/>
        </w:rPr>
        <w:t>responden</w:t>
      </w:r>
      <w:r>
        <w:rPr>
          <w:rFonts w:ascii="Tw Cen MT" w:cs="Times New Roman" w:hAnsi="Tw Cen MT"/>
          <w:sz w:val="24"/>
          <w:szCs w:val="24"/>
        </w:rPr>
        <w:t xml:space="preserve"> Di Desa Air </w:t>
      </w:r>
      <w:r>
        <w:rPr>
          <w:rFonts w:ascii="Tw Cen MT" w:cs="Times New Roman" w:hAnsi="Tw Cen MT"/>
          <w:sz w:val="24"/>
          <w:szCs w:val="24"/>
        </w:rPr>
        <w:t>Jernih</w:t>
      </w:r>
      <w:r>
        <w:rPr>
          <w:rFonts w:ascii="Tw Cen MT" w:cs="Times New Roman" w:hAnsi="Tw Cen MT"/>
          <w:sz w:val="24"/>
          <w:szCs w:val="24"/>
        </w:rPr>
        <w:t xml:space="preserve"> </w:t>
      </w:r>
      <w:r>
        <w:rPr>
          <w:rFonts w:ascii="Tw Cen MT" w:cs="Times New Roman" w:hAnsi="Tw Cen MT"/>
          <w:sz w:val="24"/>
          <w:szCs w:val="24"/>
        </w:rPr>
        <w:t>adalah</w:t>
      </w:r>
      <w:r>
        <w:rPr>
          <w:rFonts w:ascii="Tw Cen MT" w:cs="Times New Roman" w:hAnsi="Tw Cen MT"/>
          <w:sz w:val="24"/>
          <w:szCs w:val="24"/>
        </w:rPr>
        <w:t xml:space="preserve"> Nuclear Family </w:t>
      </w:r>
      <w:r>
        <w:rPr>
          <w:rFonts w:ascii="Tw Cen MT" w:cs="Times New Roman" w:hAnsi="Tw Cen MT"/>
          <w:sz w:val="24"/>
          <w:szCs w:val="24"/>
        </w:rPr>
        <w:t>yaitu</w:t>
      </w:r>
      <w:r>
        <w:rPr>
          <w:rFonts w:ascii="Tw Cen MT" w:cs="Times New Roman" w:hAnsi="Tw Cen MT"/>
          <w:sz w:val="24"/>
          <w:szCs w:val="24"/>
        </w:rPr>
        <w:t xml:space="preserve"> </w:t>
      </w:r>
      <w:r>
        <w:rPr>
          <w:rFonts w:ascii="Tw Cen MT" w:cs="Times New Roman" w:hAnsi="Tw Cen MT"/>
          <w:sz w:val="24"/>
          <w:szCs w:val="24"/>
        </w:rPr>
        <w:t>keluarga</w:t>
      </w:r>
      <w:r>
        <w:rPr>
          <w:rFonts w:ascii="Tw Cen MT" w:cs="Times New Roman" w:hAnsi="Tw Cen MT"/>
          <w:sz w:val="24"/>
          <w:szCs w:val="24"/>
        </w:rPr>
        <w:t xml:space="preserve"> inti </w:t>
      </w:r>
      <w:r>
        <w:rPr>
          <w:rFonts w:ascii="Tw Cen MT" w:cs="Times New Roman" w:hAnsi="Tw Cen MT"/>
          <w:sz w:val="24"/>
          <w:szCs w:val="24"/>
        </w:rPr>
        <w:t>dengan</w:t>
      </w:r>
      <w:r>
        <w:rPr>
          <w:rFonts w:ascii="Tw Cen MT" w:cs="Times New Roman" w:hAnsi="Tw Cen MT"/>
          <w:sz w:val="24"/>
          <w:szCs w:val="24"/>
        </w:rPr>
        <w:t xml:space="preserve"> </w:t>
      </w:r>
      <w:r>
        <w:rPr>
          <w:rFonts w:ascii="Tw Cen MT" w:cs="Times New Roman" w:hAnsi="Tw Cen MT"/>
          <w:sz w:val="24"/>
          <w:szCs w:val="24"/>
        </w:rPr>
        <w:t>anggota</w:t>
      </w:r>
      <w:r>
        <w:rPr>
          <w:rFonts w:ascii="Tw Cen MT" w:cs="Times New Roman" w:hAnsi="Tw Cen MT"/>
          <w:sz w:val="24"/>
          <w:szCs w:val="24"/>
        </w:rPr>
        <w:t xml:space="preserve"> </w:t>
      </w:r>
      <w:r>
        <w:rPr>
          <w:rFonts w:ascii="Tw Cen MT" w:cs="Times New Roman" w:hAnsi="Tw Cen MT"/>
          <w:sz w:val="24"/>
          <w:szCs w:val="24"/>
        </w:rPr>
        <w:t>keluarga</w:t>
      </w:r>
      <w:r>
        <w:rPr>
          <w:rFonts w:ascii="Tw Cen MT" w:cs="Times New Roman" w:hAnsi="Tw Cen MT"/>
          <w:sz w:val="24"/>
          <w:szCs w:val="24"/>
        </w:rPr>
        <w:t xml:space="preserve"> </w:t>
      </w:r>
      <w:r>
        <w:rPr>
          <w:rFonts w:ascii="Tw Cen MT" w:cs="Times New Roman" w:hAnsi="Tw Cen MT"/>
          <w:sz w:val="24"/>
          <w:szCs w:val="24"/>
        </w:rPr>
        <w:t>terdiri</w:t>
      </w:r>
      <w:r>
        <w:rPr>
          <w:rFonts w:ascii="Tw Cen MT" w:cs="Times New Roman" w:hAnsi="Tw Cen MT"/>
          <w:sz w:val="24"/>
          <w:szCs w:val="24"/>
        </w:rPr>
        <w:t xml:space="preserve"> </w:t>
      </w:r>
      <w:r>
        <w:rPr>
          <w:rFonts w:ascii="Tw Cen MT" w:cs="Times New Roman" w:hAnsi="Tw Cen MT"/>
          <w:sz w:val="24"/>
          <w:szCs w:val="24"/>
        </w:rPr>
        <w:t>dari</w:t>
      </w:r>
      <w:r>
        <w:rPr>
          <w:rFonts w:ascii="Tw Cen MT" w:cs="Times New Roman" w:hAnsi="Tw Cen MT"/>
          <w:sz w:val="24"/>
          <w:szCs w:val="24"/>
        </w:rPr>
        <w:t xml:space="preserve"> ayah, </w:t>
      </w:r>
      <w:r>
        <w:rPr>
          <w:rFonts w:ascii="Tw Cen MT" w:cs="Times New Roman" w:hAnsi="Tw Cen MT"/>
          <w:sz w:val="24"/>
          <w:szCs w:val="24"/>
        </w:rPr>
        <w:t>ibu</w:t>
      </w:r>
      <w:r>
        <w:rPr>
          <w:rFonts w:ascii="Tw Cen MT" w:cs="Times New Roman" w:hAnsi="Tw Cen MT"/>
          <w:sz w:val="24"/>
          <w:szCs w:val="24"/>
        </w:rPr>
        <w:t xml:space="preserve"> dan </w:t>
      </w:r>
      <w:r>
        <w:rPr>
          <w:rFonts w:ascii="Tw Cen MT" w:cs="Times New Roman" w:hAnsi="Tw Cen MT"/>
          <w:sz w:val="24"/>
          <w:szCs w:val="24"/>
        </w:rPr>
        <w:t>anak</w:t>
      </w:r>
      <w:r>
        <w:rPr>
          <w:rFonts w:ascii="Tw Cen MT" w:cs="Times New Roman" w:hAnsi="Tw Cen MT"/>
          <w:sz w:val="24"/>
          <w:szCs w:val="24"/>
        </w:rPr>
        <w:t xml:space="preserve"> yang </w:t>
      </w:r>
      <w:r>
        <w:rPr>
          <w:rFonts w:ascii="Tw Cen MT" w:cs="Times New Roman" w:hAnsi="Tw Cen MT"/>
          <w:sz w:val="24"/>
          <w:szCs w:val="24"/>
        </w:rPr>
        <w:t>tinggal</w:t>
      </w:r>
      <w:r>
        <w:rPr>
          <w:rFonts w:ascii="Tw Cen MT" w:cs="Times New Roman" w:hAnsi="Tw Cen MT"/>
          <w:sz w:val="24"/>
          <w:szCs w:val="24"/>
        </w:rPr>
        <w:t xml:space="preserve"> </w:t>
      </w:r>
      <w:r>
        <w:rPr>
          <w:rFonts w:ascii="Tw Cen MT" w:cs="Times New Roman" w:hAnsi="Tw Cen MT"/>
          <w:sz w:val="24"/>
          <w:szCs w:val="24"/>
        </w:rPr>
        <w:t>dalam</w:t>
      </w:r>
      <w:r>
        <w:rPr>
          <w:rFonts w:ascii="Tw Cen MT" w:cs="Times New Roman" w:hAnsi="Tw Cen MT"/>
          <w:sz w:val="24"/>
          <w:szCs w:val="24"/>
        </w:rPr>
        <w:t xml:space="preserve"> </w:t>
      </w:r>
      <w:r>
        <w:rPr>
          <w:rFonts w:ascii="Tw Cen MT" w:cs="Times New Roman" w:hAnsi="Tw Cen MT"/>
          <w:sz w:val="24"/>
          <w:szCs w:val="24"/>
        </w:rPr>
        <w:t>satu</w:t>
      </w:r>
      <w:r>
        <w:rPr>
          <w:rFonts w:ascii="Tw Cen MT" w:cs="Times New Roman" w:hAnsi="Tw Cen MT"/>
          <w:sz w:val="24"/>
          <w:szCs w:val="24"/>
        </w:rPr>
        <w:t xml:space="preserve"> </w:t>
      </w:r>
      <w:r>
        <w:rPr>
          <w:rFonts w:ascii="Tw Cen MT" w:cs="Times New Roman" w:hAnsi="Tw Cen MT"/>
          <w:sz w:val="24"/>
          <w:szCs w:val="24"/>
        </w:rPr>
        <w:t>rumah</w:t>
      </w:r>
      <w:r>
        <w:rPr>
          <w:rFonts w:ascii="Tw Cen MT" w:cs="Times New Roman" w:hAnsi="Tw Cen MT"/>
          <w:sz w:val="24"/>
          <w:szCs w:val="24"/>
        </w:rPr>
        <w:t xml:space="preserve"> </w:t>
      </w:r>
      <w:r>
        <w:rPr>
          <w:rFonts w:ascii="Tw Cen MT" w:cs="Times New Roman" w:hAnsi="Tw Cen MT"/>
          <w:sz w:val="24"/>
          <w:szCs w:val="24"/>
        </w:rPr>
        <w:t>yaitu</w:t>
      </w:r>
      <w:r>
        <w:rPr>
          <w:rFonts w:ascii="Tw Cen MT" w:cs="Times New Roman" w:hAnsi="Tw Cen MT"/>
          <w:sz w:val="24"/>
          <w:szCs w:val="24"/>
        </w:rPr>
        <w:t xml:space="preserve"> </w:t>
      </w:r>
      <w:r>
        <w:rPr>
          <w:rFonts w:ascii="Tw Cen MT" w:cs="Times New Roman" w:hAnsi="Tw Cen MT"/>
          <w:sz w:val="24"/>
          <w:szCs w:val="24"/>
        </w:rPr>
        <w:t>sebanyak</w:t>
      </w:r>
      <w:r>
        <w:rPr>
          <w:rFonts w:ascii="Tw Cen MT" w:cs="Times New Roman" w:hAnsi="Tw Cen MT"/>
          <w:sz w:val="24"/>
          <w:szCs w:val="24"/>
        </w:rPr>
        <w:t xml:space="preserve"> 83,1%. </w:t>
      </w:r>
      <w:r>
        <w:rPr>
          <w:rFonts w:ascii="Tw Cen MT" w:cs="Times New Roman" w:hAnsi="Tw Cen MT"/>
          <w:sz w:val="24"/>
          <w:szCs w:val="24"/>
        </w:rPr>
        <w:t>Selanjutnya</w:t>
      </w:r>
      <w:r>
        <w:rPr>
          <w:rFonts w:ascii="Tw Cen MT" w:cs="Times New Roman" w:hAnsi="Tw Cen MT"/>
          <w:sz w:val="24"/>
          <w:szCs w:val="24"/>
        </w:rPr>
        <w:t xml:space="preserve"> </w:t>
      </w:r>
      <w:r>
        <w:rPr>
          <w:rFonts w:ascii="Tw Cen MT" w:cs="Times New Roman" w:hAnsi="Tw Cen MT"/>
          <w:sz w:val="24"/>
          <w:szCs w:val="24"/>
        </w:rPr>
        <w:t>pendapatan</w:t>
      </w:r>
      <w:r>
        <w:rPr>
          <w:rFonts w:ascii="Tw Cen MT" w:cs="Times New Roman" w:hAnsi="Tw Cen MT"/>
          <w:sz w:val="24"/>
          <w:szCs w:val="24"/>
        </w:rPr>
        <w:t xml:space="preserve"> </w:t>
      </w:r>
      <w:r>
        <w:rPr>
          <w:rFonts w:ascii="Tw Cen MT" w:cs="Times New Roman" w:hAnsi="Tw Cen MT"/>
          <w:sz w:val="24"/>
          <w:szCs w:val="24"/>
        </w:rPr>
        <w:t>keluarga</w:t>
      </w:r>
      <w:r>
        <w:rPr>
          <w:rFonts w:ascii="Tw Cen MT" w:cs="Times New Roman" w:hAnsi="Tw Cen MT"/>
          <w:sz w:val="24"/>
          <w:szCs w:val="24"/>
        </w:rPr>
        <w:t xml:space="preserve"> </w:t>
      </w:r>
      <w:r>
        <w:rPr>
          <w:rFonts w:ascii="Tw Cen MT" w:cs="Times New Roman" w:hAnsi="Tw Cen MT"/>
          <w:sz w:val="24"/>
          <w:szCs w:val="24"/>
        </w:rPr>
        <w:t>responden</w:t>
      </w:r>
      <w:r>
        <w:rPr>
          <w:rFonts w:ascii="Tw Cen MT" w:cs="Times New Roman" w:hAnsi="Tw Cen MT"/>
          <w:sz w:val="24"/>
          <w:szCs w:val="24"/>
        </w:rPr>
        <w:t xml:space="preserve"> di Desa Air </w:t>
      </w:r>
      <w:r>
        <w:rPr>
          <w:rFonts w:ascii="Tw Cen MT" w:cs="Times New Roman" w:hAnsi="Tw Cen MT"/>
          <w:sz w:val="24"/>
          <w:szCs w:val="24"/>
        </w:rPr>
        <w:t>Jernih</w:t>
      </w:r>
      <w:r>
        <w:rPr>
          <w:rFonts w:ascii="Tw Cen MT" w:cs="Times New Roman" w:hAnsi="Tw Cen MT"/>
          <w:sz w:val="24"/>
          <w:szCs w:val="24"/>
        </w:rPr>
        <w:t xml:space="preserve"> Rata-rata </w:t>
      </w:r>
      <w:r>
        <w:rPr>
          <w:rFonts w:ascii="Tw Cen MT" w:cs="Times New Roman" w:hAnsi="Tw Cen MT"/>
          <w:sz w:val="24"/>
          <w:szCs w:val="24"/>
        </w:rPr>
        <w:t>sudah</w:t>
      </w:r>
      <w:r>
        <w:rPr>
          <w:rFonts w:ascii="Tw Cen MT" w:cs="Times New Roman" w:hAnsi="Tw Cen MT"/>
          <w:sz w:val="24"/>
          <w:szCs w:val="24"/>
        </w:rPr>
        <w:t xml:space="preserve"> </w:t>
      </w:r>
      <w:r>
        <w:rPr>
          <w:rFonts w:ascii="Tw Cen MT" w:cs="Times New Roman" w:hAnsi="Tw Cen MT"/>
          <w:sz w:val="24"/>
          <w:szCs w:val="24"/>
        </w:rPr>
        <w:t>sesuai</w:t>
      </w:r>
      <w:r>
        <w:rPr>
          <w:rFonts w:ascii="Tw Cen MT" w:cs="Times New Roman" w:hAnsi="Tw Cen MT"/>
          <w:sz w:val="24"/>
          <w:szCs w:val="24"/>
        </w:rPr>
        <w:t xml:space="preserve"> </w:t>
      </w:r>
      <w:r>
        <w:rPr>
          <w:rFonts w:ascii="Tw Cen MT" w:cs="Times New Roman" w:hAnsi="Tw Cen MT"/>
          <w:sz w:val="24"/>
          <w:szCs w:val="24"/>
        </w:rPr>
        <w:t>dengan</w:t>
      </w:r>
      <w:r>
        <w:rPr>
          <w:rFonts w:ascii="Tw Cen MT" w:cs="Times New Roman" w:hAnsi="Tw Cen MT"/>
          <w:sz w:val="24"/>
          <w:szCs w:val="24"/>
        </w:rPr>
        <w:t xml:space="preserve"> UMR yang </w:t>
      </w:r>
      <w:r>
        <w:rPr>
          <w:rFonts w:ascii="Tw Cen MT" w:cs="Times New Roman" w:hAnsi="Tw Cen MT"/>
          <w:sz w:val="24"/>
          <w:szCs w:val="24"/>
        </w:rPr>
        <w:t>ada</w:t>
      </w:r>
      <w:r>
        <w:rPr>
          <w:rFonts w:ascii="Tw Cen MT" w:cs="Times New Roman" w:hAnsi="Tw Cen MT"/>
          <w:sz w:val="24"/>
          <w:szCs w:val="24"/>
        </w:rPr>
        <w:t xml:space="preserve"> di </w:t>
      </w:r>
      <w:r>
        <w:rPr>
          <w:rFonts w:ascii="Tw Cen MT" w:cs="Times New Roman" w:hAnsi="Tw Cen MT"/>
          <w:sz w:val="24"/>
          <w:szCs w:val="24"/>
        </w:rPr>
        <w:t>Kabupaten</w:t>
      </w:r>
      <w:r>
        <w:rPr>
          <w:rFonts w:ascii="Tw Cen MT" w:cs="Times New Roman" w:hAnsi="Tw Cen MT"/>
          <w:sz w:val="24"/>
          <w:szCs w:val="24"/>
        </w:rPr>
        <w:t xml:space="preserve"> Indragiri Hulu </w:t>
      </w:r>
      <w:r>
        <w:rPr>
          <w:rFonts w:ascii="Tw Cen MT" w:cs="Times New Roman" w:hAnsi="Tw Cen MT"/>
          <w:sz w:val="24"/>
          <w:szCs w:val="24"/>
        </w:rPr>
        <w:t>yaitu</w:t>
      </w:r>
      <w:r>
        <w:rPr>
          <w:rFonts w:ascii="Tw Cen MT" w:cs="Times New Roman" w:hAnsi="Tw Cen MT"/>
          <w:sz w:val="24"/>
          <w:szCs w:val="24"/>
        </w:rPr>
        <w:t xml:space="preserve"> </w:t>
      </w:r>
      <w:r>
        <w:rPr>
          <w:rFonts w:ascii="Tw Cen MT" w:cs="Times New Roman" w:hAnsi="Tw Cen MT"/>
          <w:sz w:val="24"/>
          <w:szCs w:val="24"/>
        </w:rPr>
        <w:t>sebanyak</w:t>
      </w:r>
      <w:r>
        <w:rPr>
          <w:rFonts w:ascii="Tw Cen MT" w:cs="Times New Roman" w:hAnsi="Tw Cen MT"/>
          <w:sz w:val="24"/>
          <w:szCs w:val="24"/>
        </w:rPr>
        <w:t xml:space="preserve"> 56,2%. </w:t>
      </w:r>
      <w:r>
        <w:rPr>
          <w:rFonts w:ascii="Tw Cen MT" w:cs="Times New Roman" w:hAnsi="Tw Cen MT"/>
          <w:sz w:val="24"/>
          <w:szCs w:val="24"/>
        </w:rPr>
        <w:t>Untuk</w:t>
      </w:r>
      <w:r>
        <w:rPr>
          <w:rFonts w:ascii="Tw Cen MT" w:cs="Times New Roman" w:hAnsi="Tw Cen MT"/>
          <w:sz w:val="24"/>
          <w:szCs w:val="24"/>
        </w:rPr>
        <w:t xml:space="preserve"> </w:t>
      </w:r>
      <w:r>
        <w:rPr>
          <w:rFonts w:ascii="Tw Cen MT" w:cs="Times New Roman" w:hAnsi="Tw Cen MT"/>
          <w:sz w:val="24"/>
          <w:szCs w:val="24"/>
        </w:rPr>
        <w:t>jumlah</w:t>
      </w:r>
      <w:r>
        <w:rPr>
          <w:rFonts w:ascii="Tw Cen MT" w:cs="Times New Roman" w:hAnsi="Tw Cen MT"/>
          <w:sz w:val="24"/>
          <w:szCs w:val="24"/>
        </w:rPr>
        <w:t xml:space="preserve"> </w:t>
      </w:r>
      <w:r>
        <w:rPr>
          <w:rFonts w:ascii="Tw Cen MT" w:cs="Times New Roman" w:hAnsi="Tw Cen MT"/>
          <w:sz w:val="24"/>
          <w:szCs w:val="24"/>
        </w:rPr>
        <w:t>anak</w:t>
      </w:r>
      <w:r>
        <w:rPr>
          <w:rFonts w:ascii="Tw Cen MT" w:cs="Times New Roman" w:hAnsi="Tw Cen MT"/>
          <w:sz w:val="24"/>
          <w:szCs w:val="24"/>
        </w:rPr>
        <w:t xml:space="preserve"> </w:t>
      </w:r>
      <w:r>
        <w:rPr>
          <w:rFonts w:ascii="Tw Cen MT" w:cs="Times New Roman" w:hAnsi="Tw Cen MT"/>
          <w:sz w:val="24"/>
          <w:szCs w:val="24"/>
        </w:rPr>
        <w:t>responden</w:t>
      </w:r>
      <w:r>
        <w:rPr>
          <w:rFonts w:ascii="Tw Cen MT" w:cs="Times New Roman" w:hAnsi="Tw Cen MT"/>
          <w:sz w:val="24"/>
          <w:szCs w:val="24"/>
        </w:rPr>
        <w:t xml:space="preserve"> </w:t>
      </w:r>
      <w:r>
        <w:rPr>
          <w:rFonts w:ascii="Tw Cen MT" w:cs="Times New Roman" w:hAnsi="Tw Cen MT"/>
          <w:sz w:val="24"/>
          <w:szCs w:val="24"/>
        </w:rPr>
        <w:t>lebih</w:t>
      </w:r>
      <w:r>
        <w:rPr>
          <w:rFonts w:ascii="Tw Cen MT" w:cs="Times New Roman" w:hAnsi="Tw Cen MT"/>
          <w:sz w:val="24"/>
          <w:szCs w:val="24"/>
        </w:rPr>
        <w:t xml:space="preserve"> </w:t>
      </w:r>
      <w:r>
        <w:rPr>
          <w:rFonts w:ascii="Tw Cen MT" w:cs="Times New Roman" w:hAnsi="Tw Cen MT"/>
          <w:sz w:val="24"/>
          <w:szCs w:val="24"/>
        </w:rPr>
        <w:t>dari</w:t>
      </w:r>
      <w:r>
        <w:rPr>
          <w:rFonts w:ascii="Tw Cen MT" w:cs="Times New Roman" w:hAnsi="Tw Cen MT"/>
          <w:sz w:val="24"/>
          <w:szCs w:val="24"/>
        </w:rPr>
        <w:t xml:space="preserve"> </w:t>
      </w:r>
      <w:r>
        <w:rPr>
          <w:rFonts w:ascii="Tw Cen MT" w:cs="Times New Roman" w:hAnsi="Tw Cen MT"/>
          <w:sz w:val="24"/>
          <w:szCs w:val="24"/>
        </w:rPr>
        <w:t>setengahnya</w:t>
      </w:r>
      <w:r>
        <w:rPr>
          <w:rFonts w:ascii="Tw Cen MT" w:cs="Times New Roman" w:hAnsi="Tw Cen MT"/>
          <w:sz w:val="24"/>
          <w:szCs w:val="24"/>
        </w:rPr>
        <w:t xml:space="preserve"> </w:t>
      </w:r>
      <w:r>
        <w:rPr>
          <w:rFonts w:ascii="Tw Cen MT" w:cs="Times New Roman" w:hAnsi="Tw Cen MT"/>
          <w:sz w:val="24"/>
          <w:szCs w:val="24"/>
        </w:rPr>
        <w:t>memiliki</w:t>
      </w:r>
      <w:r>
        <w:rPr>
          <w:rFonts w:ascii="Tw Cen MT" w:cs="Times New Roman" w:hAnsi="Tw Cen MT"/>
          <w:sz w:val="24"/>
          <w:szCs w:val="24"/>
        </w:rPr>
        <w:t xml:space="preserve"> </w:t>
      </w:r>
      <w:r>
        <w:rPr>
          <w:rFonts w:ascii="Tw Cen MT" w:cs="Times New Roman" w:hAnsi="Tw Cen MT"/>
          <w:sz w:val="24"/>
          <w:szCs w:val="24"/>
        </w:rPr>
        <w:t>anak</w:t>
      </w:r>
      <w:r>
        <w:rPr>
          <w:rFonts w:ascii="Tw Cen MT" w:cs="Times New Roman" w:hAnsi="Tw Cen MT"/>
          <w:sz w:val="24"/>
          <w:szCs w:val="24"/>
        </w:rPr>
        <w:t xml:space="preserve"> </w:t>
      </w:r>
      <w:r>
        <w:rPr>
          <w:rFonts w:ascii="Tw Cen MT" w:cs="Times New Roman" w:hAnsi="Tw Cen MT"/>
          <w:sz w:val="24"/>
          <w:szCs w:val="24"/>
        </w:rPr>
        <w:t>kurang</w:t>
      </w:r>
      <w:r>
        <w:rPr>
          <w:rFonts w:ascii="Tw Cen MT" w:cs="Times New Roman" w:hAnsi="Tw Cen MT"/>
          <w:sz w:val="24"/>
          <w:szCs w:val="24"/>
        </w:rPr>
        <w:t xml:space="preserve"> </w:t>
      </w:r>
      <w:r>
        <w:rPr>
          <w:rFonts w:ascii="Tw Cen MT" w:cs="Times New Roman" w:hAnsi="Tw Cen MT"/>
          <w:sz w:val="24"/>
          <w:szCs w:val="24"/>
        </w:rPr>
        <w:t>dari</w:t>
      </w:r>
      <w:r>
        <w:rPr>
          <w:rFonts w:ascii="Tw Cen MT" w:cs="Times New Roman" w:hAnsi="Tw Cen MT"/>
          <w:sz w:val="24"/>
          <w:szCs w:val="24"/>
        </w:rPr>
        <w:t xml:space="preserve"> 2 orang. </w:t>
      </w:r>
      <w:r>
        <w:rPr>
          <w:rFonts w:ascii="Tw Cen MT" w:cs="Times New Roman" w:hAnsi="Tw Cen MT"/>
          <w:sz w:val="24"/>
          <w:szCs w:val="24"/>
        </w:rPr>
        <w:t>Selanjutnya</w:t>
      </w:r>
      <w:r>
        <w:rPr>
          <w:rFonts w:ascii="Tw Cen MT" w:cs="Times New Roman" w:hAnsi="Tw Cen MT"/>
          <w:sz w:val="24"/>
          <w:szCs w:val="24"/>
        </w:rPr>
        <w:t xml:space="preserve"> </w:t>
      </w:r>
      <w:r>
        <w:rPr>
          <w:rFonts w:ascii="Tw Cen MT" w:cs="Times New Roman" w:hAnsi="Tw Cen MT"/>
          <w:sz w:val="24"/>
          <w:szCs w:val="24"/>
        </w:rPr>
        <w:t>untuk</w:t>
      </w:r>
      <w:r>
        <w:rPr>
          <w:rFonts w:ascii="Tw Cen MT" w:cs="Times New Roman" w:hAnsi="Tw Cen MT"/>
          <w:sz w:val="24"/>
          <w:szCs w:val="24"/>
        </w:rPr>
        <w:t xml:space="preserve"> </w:t>
      </w:r>
      <w:r>
        <w:rPr>
          <w:rFonts w:ascii="Tw Cen MT" w:cs="Times New Roman" w:hAnsi="Tw Cen MT"/>
          <w:sz w:val="24"/>
          <w:szCs w:val="24"/>
        </w:rPr>
        <w:t>kategori</w:t>
      </w:r>
      <w:r>
        <w:rPr>
          <w:rFonts w:ascii="Tw Cen MT" w:cs="Times New Roman" w:hAnsi="Tw Cen MT"/>
          <w:sz w:val="24"/>
          <w:szCs w:val="24"/>
        </w:rPr>
        <w:t xml:space="preserve"> Pendidikan </w:t>
      </w:r>
      <w:r>
        <w:rPr>
          <w:rFonts w:ascii="Tw Cen MT" w:cs="Times New Roman" w:hAnsi="Tw Cen MT"/>
          <w:sz w:val="24"/>
          <w:szCs w:val="24"/>
        </w:rPr>
        <w:t>responden</w:t>
      </w:r>
      <w:r>
        <w:rPr>
          <w:rFonts w:ascii="Tw Cen MT" w:cs="Times New Roman" w:hAnsi="Tw Cen MT"/>
          <w:sz w:val="24"/>
          <w:szCs w:val="24"/>
        </w:rPr>
        <w:t xml:space="preserve"> </w:t>
      </w:r>
      <w:r>
        <w:rPr>
          <w:rFonts w:ascii="Tw Cen MT" w:cs="Times New Roman" w:hAnsi="Tw Cen MT"/>
          <w:sz w:val="24"/>
          <w:szCs w:val="24"/>
        </w:rPr>
        <w:t>sebagaian</w:t>
      </w:r>
      <w:r>
        <w:rPr>
          <w:rFonts w:ascii="Tw Cen MT" w:cs="Times New Roman" w:hAnsi="Tw Cen MT"/>
          <w:sz w:val="24"/>
          <w:szCs w:val="24"/>
        </w:rPr>
        <w:t xml:space="preserve"> </w:t>
      </w:r>
      <w:r>
        <w:rPr>
          <w:rFonts w:ascii="Tw Cen MT" w:cs="Times New Roman" w:hAnsi="Tw Cen MT"/>
          <w:sz w:val="24"/>
          <w:szCs w:val="24"/>
        </w:rPr>
        <w:t>besar</w:t>
      </w:r>
      <w:r>
        <w:rPr>
          <w:rFonts w:ascii="Tw Cen MT" w:cs="Times New Roman" w:hAnsi="Tw Cen MT"/>
          <w:sz w:val="24"/>
          <w:szCs w:val="24"/>
        </w:rPr>
        <w:t xml:space="preserve"> </w:t>
      </w:r>
      <w:r>
        <w:rPr>
          <w:rFonts w:ascii="Tw Cen MT" w:cs="Times New Roman" w:hAnsi="Tw Cen MT"/>
          <w:sz w:val="24"/>
          <w:szCs w:val="24"/>
        </w:rPr>
        <w:t>berpendidikan</w:t>
      </w:r>
      <w:r>
        <w:rPr>
          <w:rFonts w:ascii="Tw Cen MT" w:cs="Times New Roman" w:hAnsi="Tw Cen MT"/>
          <w:sz w:val="24"/>
          <w:szCs w:val="24"/>
        </w:rPr>
        <w:t xml:space="preserve"> </w:t>
      </w:r>
      <w:r>
        <w:rPr>
          <w:rFonts w:ascii="Tw Cen MT" w:cs="Times New Roman" w:hAnsi="Tw Cen MT"/>
          <w:sz w:val="24"/>
          <w:szCs w:val="24"/>
        </w:rPr>
        <w:t>tinggi</w:t>
      </w:r>
      <w:r>
        <w:rPr>
          <w:rFonts w:ascii="Tw Cen MT" w:cs="Times New Roman" w:hAnsi="Tw Cen MT"/>
          <w:sz w:val="24"/>
          <w:szCs w:val="24"/>
        </w:rPr>
        <w:t xml:space="preserve"> </w:t>
      </w:r>
      <w:r>
        <w:rPr>
          <w:rFonts w:ascii="Tw Cen MT" w:cs="Times New Roman" w:hAnsi="Tw Cen MT"/>
          <w:sz w:val="24"/>
          <w:szCs w:val="24"/>
        </w:rPr>
        <w:t>yaitu</w:t>
      </w:r>
      <w:r>
        <w:rPr>
          <w:rFonts w:ascii="Tw Cen MT" w:cs="Times New Roman" w:hAnsi="Tw Cen MT"/>
          <w:sz w:val="24"/>
          <w:szCs w:val="24"/>
        </w:rPr>
        <w:t xml:space="preserve"> </w:t>
      </w:r>
      <w:r>
        <w:rPr>
          <w:rFonts w:ascii="Tw Cen MT" w:cs="Times New Roman" w:hAnsi="Tw Cen MT"/>
          <w:sz w:val="24"/>
          <w:szCs w:val="24"/>
        </w:rPr>
        <w:t>sebanyak</w:t>
      </w:r>
      <w:r>
        <w:rPr>
          <w:rFonts w:ascii="Tw Cen MT" w:cs="Times New Roman" w:hAnsi="Tw Cen MT"/>
          <w:sz w:val="24"/>
          <w:szCs w:val="24"/>
        </w:rPr>
        <w:t xml:space="preserve"> 79,8% dan Sebagian </w:t>
      </w:r>
      <w:r>
        <w:rPr>
          <w:rFonts w:ascii="Tw Cen MT" w:cs="Times New Roman" w:hAnsi="Tw Cen MT"/>
          <w:sz w:val="24"/>
          <w:szCs w:val="24"/>
        </w:rPr>
        <w:t>besar</w:t>
      </w:r>
      <w:r>
        <w:rPr>
          <w:rFonts w:ascii="Tw Cen MT" w:cs="Times New Roman" w:hAnsi="Tw Cen MT"/>
          <w:sz w:val="24"/>
          <w:szCs w:val="24"/>
        </w:rPr>
        <w:t xml:space="preserve"> </w:t>
      </w:r>
      <w:r>
        <w:rPr>
          <w:rFonts w:ascii="Tw Cen MT" w:cs="Times New Roman" w:hAnsi="Tw Cen MT"/>
          <w:sz w:val="24"/>
          <w:szCs w:val="24"/>
        </w:rPr>
        <w:t>tidak</w:t>
      </w:r>
      <w:r>
        <w:rPr>
          <w:rFonts w:ascii="Tw Cen MT" w:cs="Times New Roman" w:hAnsi="Tw Cen MT"/>
          <w:sz w:val="24"/>
          <w:szCs w:val="24"/>
        </w:rPr>
        <w:t xml:space="preserve"> </w:t>
      </w:r>
      <w:r>
        <w:rPr>
          <w:rFonts w:ascii="Tw Cen MT" w:cs="Times New Roman" w:hAnsi="Tw Cen MT"/>
          <w:sz w:val="24"/>
          <w:szCs w:val="24"/>
        </w:rPr>
        <w:t>bekerja</w:t>
      </w:r>
      <w:r>
        <w:rPr>
          <w:rFonts w:ascii="Tw Cen MT" w:cs="Times New Roman" w:hAnsi="Tw Cen MT"/>
          <w:sz w:val="24"/>
          <w:szCs w:val="24"/>
        </w:rPr>
        <w:t xml:space="preserve"> </w:t>
      </w:r>
      <w:r>
        <w:rPr>
          <w:rFonts w:ascii="Tw Cen MT" w:cs="Times New Roman" w:hAnsi="Tw Cen MT"/>
          <w:sz w:val="24"/>
          <w:szCs w:val="24"/>
        </w:rPr>
        <w:t>yaitu</w:t>
      </w:r>
      <w:r>
        <w:rPr>
          <w:rFonts w:ascii="Tw Cen MT" w:cs="Times New Roman" w:hAnsi="Tw Cen MT"/>
          <w:sz w:val="24"/>
          <w:szCs w:val="24"/>
        </w:rPr>
        <w:t xml:space="preserve"> </w:t>
      </w:r>
      <w:r>
        <w:rPr>
          <w:rFonts w:ascii="Tw Cen MT" w:cs="Times New Roman" w:hAnsi="Tw Cen MT"/>
          <w:sz w:val="24"/>
          <w:szCs w:val="24"/>
        </w:rPr>
        <w:t>sebanyak</w:t>
      </w:r>
      <w:r>
        <w:rPr>
          <w:rFonts w:ascii="Tw Cen MT" w:cs="Times New Roman" w:hAnsi="Tw Cen MT"/>
          <w:sz w:val="24"/>
          <w:szCs w:val="24"/>
        </w:rPr>
        <w:t xml:space="preserve"> 79,8%. </w:t>
      </w:r>
      <w:r>
        <w:rPr>
          <w:rFonts w:ascii="Tw Cen MT" w:cs="Times New Roman" w:hAnsi="Tw Cen MT"/>
          <w:sz w:val="24"/>
          <w:szCs w:val="24"/>
        </w:rPr>
        <w:t>Selanjutnya</w:t>
      </w:r>
      <w:r>
        <w:rPr>
          <w:rFonts w:ascii="Tw Cen MT" w:cs="Times New Roman" w:hAnsi="Tw Cen MT"/>
          <w:sz w:val="24"/>
          <w:szCs w:val="24"/>
        </w:rPr>
        <w:t xml:space="preserve"> </w:t>
      </w:r>
      <w:r>
        <w:rPr>
          <w:rFonts w:ascii="Tw Cen MT" w:cs="Times New Roman" w:hAnsi="Tw Cen MT"/>
          <w:sz w:val="24"/>
          <w:szCs w:val="24"/>
        </w:rPr>
        <w:t>untuk</w:t>
      </w:r>
      <w:r>
        <w:rPr>
          <w:rFonts w:ascii="Tw Cen MT" w:cs="Times New Roman" w:hAnsi="Tw Cen MT"/>
          <w:sz w:val="24"/>
          <w:szCs w:val="24"/>
        </w:rPr>
        <w:t xml:space="preserve"> </w:t>
      </w:r>
      <w:r>
        <w:rPr>
          <w:rFonts w:ascii="Tw Cen MT" w:cs="Times New Roman" w:hAnsi="Tw Cen MT"/>
          <w:sz w:val="24"/>
          <w:szCs w:val="24"/>
        </w:rPr>
        <w:t>jumlah</w:t>
      </w:r>
      <w:r>
        <w:rPr>
          <w:rFonts w:ascii="Tw Cen MT" w:cs="Times New Roman" w:hAnsi="Tw Cen MT"/>
          <w:sz w:val="24"/>
          <w:szCs w:val="24"/>
        </w:rPr>
        <w:t xml:space="preserve"> </w:t>
      </w:r>
      <w:r>
        <w:rPr>
          <w:rFonts w:ascii="Tw Cen MT" w:cs="Times New Roman" w:hAnsi="Tw Cen MT"/>
          <w:sz w:val="24"/>
          <w:szCs w:val="24"/>
        </w:rPr>
        <w:t>anak</w:t>
      </w:r>
      <w:r>
        <w:rPr>
          <w:rFonts w:ascii="Tw Cen MT" w:cs="Times New Roman" w:hAnsi="Tw Cen MT"/>
          <w:sz w:val="24"/>
          <w:szCs w:val="24"/>
        </w:rPr>
        <w:t xml:space="preserve"> stunting di Desa Air </w:t>
      </w:r>
      <w:r>
        <w:rPr>
          <w:rFonts w:ascii="Tw Cen MT" w:cs="Times New Roman" w:hAnsi="Tw Cen MT"/>
          <w:sz w:val="24"/>
          <w:szCs w:val="24"/>
        </w:rPr>
        <w:t>Jernih</w:t>
      </w:r>
      <w:r>
        <w:rPr>
          <w:rFonts w:ascii="Tw Cen MT" w:cs="Times New Roman" w:hAnsi="Tw Cen MT"/>
          <w:sz w:val="24"/>
          <w:szCs w:val="24"/>
        </w:rPr>
        <w:t xml:space="preserve"> </w:t>
      </w:r>
      <w:r>
        <w:rPr>
          <w:rFonts w:ascii="Tw Cen MT" w:cs="Times New Roman" w:hAnsi="Tw Cen MT"/>
          <w:sz w:val="24"/>
          <w:szCs w:val="24"/>
        </w:rPr>
        <w:t>sebanyak</w:t>
      </w:r>
      <w:r>
        <w:rPr>
          <w:rFonts w:ascii="Tw Cen MT" w:cs="Times New Roman" w:hAnsi="Tw Cen MT"/>
          <w:sz w:val="24"/>
          <w:szCs w:val="24"/>
        </w:rPr>
        <w:t xml:space="preserve"> 11,2% dan Sebagian </w:t>
      </w:r>
      <w:r>
        <w:rPr>
          <w:rFonts w:ascii="Tw Cen MT" w:cs="Times New Roman" w:hAnsi="Tw Cen MT"/>
          <w:sz w:val="24"/>
          <w:szCs w:val="24"/>
        </w:rPr>
        <w:t>besar</w:t>
      </w:r>
      <w:r>
        <w:rPr>
          <w:rFonts w:ascii="Tw Cen MT" w:cs="Times New Roman" w:hAnsi="Tw Cen MT"/>
          <w:sz w:val="24"/>
          <w:szCs w:val="24"/>
        </w:rPr>
        <w:t xml:space="preserve"> </w:t>
      </w:r>
      <w:r>
        <w:rPr>
          <w:rFonts w:ascii="Tw Cen MT" w:cs="Times New Roman" w:hAnsi="Tw Cen MT"/>
          <w:sz w:val="24"/>
          <w:szCs w:val="24"/>
        </w:rPr>
        <w:t>keluarga</w:t>
      </w:r>
      <w:r>
        <w:rPr>
          <w:rFonts w:ascii="Tw Cen MT" w:cs="Times New Roman" w:hAnsi="Tw Cen MT"/>
          <w:sz w:val="24"/>
          <w:szCs w:val="24"/>
        </w:rPr>
        <w:t xml:space="preserve"> </w:t>
      </w:r>
      <w:r>
        <w:rPr>
          <w:rFonts w:ascii="Tw Cen MT" w:cs="Times New Roman" w:hAnsi="Tw Cen MT"/>
          <w:sz w:val="24"/>
          <w:szCs w:val="24"/>
        </w:rPr>
        <w:t>memiliki</w:t>
      </w:r>
      <w:r>
        <w:rPr>
          <w:rFonts w:ascii="Tw Cen MT" w:cs="Times New Roman" w:hAnsi="Tw Cen MT"/>
          <w:sz w:val="24"/>
          <w:szCs w:val="24"/>
        </w:rPr>
        <w:t xml:space="preserve"> </w:t>
      </w:r>
      <w:r>
        <w:rPr>
          <w:rFonts w:ascii="Tw Cen MT" w:cs="Times New Roman" w:hAnsi="Tw Cen MT"/>
          <w:sz w:val="24"/>
          <w:szCs w:val="24"/>
        </w:rPr>
        <w:t>koping</w:t>
      </w:r>
      <w:r>
        <w:rPr>
          <w:rFonts w:ascii="Tw Cen MT" w:cs="Times New Roman" w:hAnsi="Tw Cen MT"/>
          <w:sz w:val="24"/>
          <w:szCs w:val="24"/>
        </w:rPr>
        <w:t xml:space="preserve"> yang </w:t>
      </w:r>
      <w:r>
        <w:rPr>
          <w:rFonts w:ascii="Tw Cen MT" w:cs="Times New Roman" w:hAnsi="Tw Cen MT"/>
          <w:sz w:val="24"/>
          <w:szCs w:val="24"/>
        </w:rPr>
        <w:t>adaptif</w:t>
      </w:r>
      <w:r>
        <w:rPr>
          <w:rFonts w:ascii="Tw Cen MT" w:cs="Times New Roman" w:hAnsi="Tw Cen MT"/>
          <w:sz w:val="24"/>
          <w:szCs w:val="24"/>
        </w:rPr>
        <w:t xml:space="preserve"> </w:t>
      </w:r>
      <w:r>
        <w:rPr>
          <w:rFonts w:ascii="Tw Cen MT" w:cs="Times New Roman" w:hAnsi="Tw Cen MT"/>
          <w:sz w:val="24"/>
          <w:szCs w:val="24"/>
        </w:rPr>
        <w:t>yaitu</w:t>
      </w:r>
      <w:r>
        <w:rPr>
          <w:rFonts w:ascii="Tw Cen MT" w:cs="Times New Roman" w:hAnsi="Tw Cen MT"/>
          <w:sz w:val="24"/>
          <w:szCs w:val="24"/>
        </w:rPr>
        <w:t xml:space="preserve"> </w:t>
      </w:r>
      <w:r>
        <w:rPr>
          <w:rFonts w:ascii="Tw Cen MT" w:cs="Times New Roman" w:hAnsi="Tw Cen MT"/>
          <w:sz w:val="24"/>
          <w:szCs w:val="24"/>
        </w:rPr>
        <w:t>sebanyak</w:t>
      </w:r>
      <w:r>
        <w:rPr>
          <w:rFonts w:ascii="Tw Cen MT" w:cs="Times New Roman" w:hAnsi="Tw Cen MT"/>
          <w:sz w:val="24"/>
          <w:szCs w:val="24"/>
        </w:rPr>
        <w:t xml:space="preserve"> 76,4%.</w:t>
      </w:r>
    </w:p>
    <w:p>
      <w:pPr>
        <w:pStyle w:val="style0"/>
        <w:jc w:val="both"/>
        <w:rPr>
          <w:rFonts w:ascii="Tw Cen MT" w:cs="Times New Roman" w:hAnsi="Tw Cen MT"/>
          <w:sz w:val="24"/>
          <w:szCs w:val="24"/>
        </w:rPr>
      </w:pPr>
      <w:r>
        <w:rPr>
          <w:rFonts w:ascii="Tw Cen MT" w:cs="Times New Roman" w:hAnsi="Tw Cen MT"/>
          <w:sz w:val="24"/>
          <w:szCs w:val="24"/>
        </w:rPr>
        <w:t>Selanjutnya</w:t>
      </w:r>
      <w:r>
        <w:rPr>
          <w:rFonts w:ascii="Tw Cen MT" w:cs="Times New Roman" w:hAnsi="Tw Cen MT"/>
          <w:sz w:val="24"/>
          <w:szCs w:val="24"/>
        </w:rPr>
        <w:t xml:space="preserve"> </w:t>
      </w:r>
      <w:r>
        <w:rPr>
          <w:rFonts w:ascii="Tw Cen MT" w:cs="Times New Roman" w:hAnsi="Tw Cen MT"/>
          <w:sz w:val="24"/>
          <w:szCs w:val="24"/>
        </w:rPr>
        <w:t>dilakukan</w:t>
      </w:r>
      <w:r>
        <w:rPr>
          <w:rFonts w:ascii="Tw Cen MT" w:cs="Times New Roman" w:hAnsi="Tw Cen MT"/>
          <w:sz w:val="24"/>
          <w:szCs w:val="24"/>
        </w:rPr>
        <w:t xml:space="preserve"> </w:t>
      </w:r>
      <w:r>
        <w:rPr>
          <w:rFonts w:ascii="Tw Cen MT" w:cs="Times New Roman" w:hAnsi="Tw Cen MT"/>
          <w:sz w:val="24"/>
          <w:szCs w:val="24"/>
        </w:rPr>
        <w:t>analisis</w:t>
      </w:r>
      <w:r>
        <w:rPr>
          <w:rFonts w:ascii="Tw Cen MT" w:cs="Times New Roman" w:hAnsi="Tw Cen MT"/>
          <w:sz w:val="24"/>
          <w:szCs w:val="24"/>
        </w:rPr>
        <w:t xml:space="preserve"> </w:t>
      </w:r>
      <w:r>
        <w:rPr>
          <w:rFonts w:ascii="Tw Cen MT" w:cs="Times New Roman" w:hAnsi="Tw Cen MT"/>
          <w:sz w:val="24"/>
          <w:szCs w:val="24"/>
        </w:rPr>
        <w:t>bivariat</w:t>
      </w:r>
      <w:r>
        <w:rPr>
          <w:rFonts w:ascii="Tw Cen MT" w:cs="Times New Roman" w:hAnsi="Tw Cen MT"/>
          <w:sz w:val="24"/>
          <w:szCs w:val="24"/>
        </w:rPr>
        <w:t xml:space="preserve"> </w:t>
      </w:r>
      <w:r>
        <w:rPr>
          <w:rFonts w:ascii="Tw Cen MT" w:cs="Times New Roman" w:hAnsi="Tw Cen MT"/>
          <w:sz w:val="24"/>
          <w:szCs w:val="24"/>
        </w:rPr>
        <w:t>untuk</w:t>
      </w:r>
      <w:r>
        <w:rPr>
          <w:rFonts w:ascii="Tw Cen MT" w:cs="Times New Roman" w:hAnsi="Tw Cen MT"/>
          <w:sz w:val="24"/>
          <w:szCs w:val="24"/>
        </w:rPr>
        <w:t xml:space="preserve"> </w:t>
      </w:r>
      <w:r>
        <w:rPr>
          <w:rFonts w:ascii="Tw Cen MT" w:cs="Times New Roman" w:hAnsi="Tw Cen MT"/>
          <w:sz w:val="24"/>
          <w:szCs w:val="24"/>
        </w:rPr>
        <w:t>mengetahui</w:t>
      </w:r>
      <w:r>
        <w:rPr>
          <w:rFonts w:ascii="Tw Cen MT" w:cs="Times New Roman" w:hAnsi="Tw Cen MT"/>
          <w:sz w:val="24"/>
          <w:szCs w:val="24"/>
        </w:rPr>
        <w:t xml:space="preserve"> </w:t>
      </w:r>
      <w:r>
        <w:rPr>
          <w:rFonts w:ascii="Tw Cen MT" w:cs="Times New Roman" w:hAnsi="Tw Cen MT"/>
          <w:sz w:val="24"/>
          <w:szCs w:val="24"/>
        </w:rPr>
        <w:t>hubungan</w:t>
      </w:r>
      <w:r>
        <w:rPr>
          <w:rFonts w:ascii="Tw Cen MT" w:cs="Times New Roman" w:hAnsi="Tw Cen MT"/>
          <w:sz w:val="24"/>
          <w:szCs w:val="24"/>
        </w:rPr>
        <w:t xml:space="preserve"> </w:t>
      </w:r>
      <w:r>
        <w:rPr>
          <w:rFonts w:ascii="Tw Cen MT" w:cs="Times New Roman" w:hAnsi="Tw Cen MT"/>
          <w:sz w:val="24"/>
          <w:szCs w:val="24"/>
        </w:rPr>
        <w:t>antara</w:t>
      </w:r>
      <w:r>
        <w:rPr>
          <w:rFonts w:ascii="Tw Cen MT" w:cs="Times New Roman" w:hAnsi="Tw Cen MT"/>
          <w:sz w:val="24"/>
          <w:szCs w:val="24"/>
        </w:rPr>
        <w:t xml:space="preserve"> </w:t>
      </w:r>
      <w:r>
        <w:rPr>
          <w:rFonts w:ascii="Tw Cen MT" w:cs="Times New Roman" w:hAnsi="Tw Cen MT"/>
          <w:sz w:val="24"/>
          <w:szCs w:val="24"/>
        </w:rPr>
        <w:t>variabel</w:t>
      </w:r>
      <w:r>
        <w:rPr>
          <w:rFonts w:ascii="Tw Cen MT" w:cs="Times New Roman" w:hAnsi="Tw Cen MT"/>
          <w:sz w:val="24"/>
          <w:szCs w:val="24"/>
        </w:rPr>
        <w:t xml:space="preserve"> </w:t>
      </w:r>
      <w:r>
        <w:rPr>
          <w:rFonts w:ascii="Tw Cen MT" w:cs="Times New Roman" w:hAnsi="Tw Cen MT"/>
          <w:sz w:val="24"/>
          <w:szCs w:val="24"/>
        </w:rPr>
        <w:t>independen</w:t>
      </w:r>
      <w:r>
        <w:rPr>
          <w:rFonts w:ascii="Tw Cen MT" w:cs="Times New Roman" w:hAnsi="Tw Cen MT"/>
          <w:sz w:val="24"/>
          <w:szCs w:val="24"/>
        </w:rPr>
        <w:t xml:space="preserve"> (</w:t>
      </w:r>
      <w:r>
        <w:rPr>
          <w:rFonts w:ascii="Tw Cen MT" w:cs="Times New Roman" w:hAnsi="Tw Cen MT"/>
          <w:sz w:val="24"/>
          <w:szCs w:val="24"/>
        </w:rPr>
        <w:t>Koping</w:t>
      </w:r>
      <w:r>
        <w:rPr>
          <w:rFonts w:ascii="Tw Cen MT" w:cs="Times New Roman" w:hAnsi="Tw Cen MT"/>
          <w:sz w:val="24"/>
          <w:szCs w:val="24"/>
        </w:rPr>
        <w:t xml:space="preserve"> </w:t>
      </w:r>
      <w:r>
        <w:rPr>
          <w:rFonts w:ascii="Tw Cen MT" w:cs="Times New Roman" w:hAnsi="Tw Cen MT"/>
          <w:sz w:val="24"/>
          <w:szCs w:val="24"/>
        </w:rPr>
        <w:t>keluarga</w:t>
      </w:r>
      <w:r>
        <w:rPr>
          <w:rFonts w:ascii="Tw Cen MT" w:cs="Times New Roman" w:hAnsi="Tw Cen MT"/>
          <w:sz w:val="24"/>
          <w:szCs w:val="24"/>
        </w:rPr>
        <w:t xml:space="preserve">)  </w:t>
      </w:r>
      <w:r>
        <w:rPr>
          <w:rFonts w:ascii="Tw Cen MT" w:cs="Times New Roman" w:hAnsi="Tw Cen MT"/>
          <w:sz w:val="24"/>
          <w:szCs w:val="24"/>
        </w:rPr>
        <w:t>dengan</w:t>
      </w:r>
      <w:r>
        <w:rPr>
          <w:rFonts w:ascii="Tw Cen MT" w:cs="Times New Roman" w:hAnsi="Tw Cen MT"/>
          <w:sz w:val="24"/>
          <w:szCs w:val="24"/>
        </w:rPr>
        <w:t xml:space="preserve"> </w:t>
      </w:r>
      <w:r>
        <w:rPr>
          <w:rFonts w:ascii="Tw Cen MT" w:cs="Times New Roman" w:hAnsi="Tw Cen MT"/>
          <w:sz w:val="24"/>
          <w:szCs w:val="24"/>
        </w:rPr>
        <w:t>variabel</w:t>
      </w:r>
      <w:r>
        <w:rPr>
          <w:rFonts w:ascii="Tw Cen MT" w:cs="Times New Roman" w:hAnsi="Tw Cen MT"/>
          <w:sz w:val="24"/>
          <w:szCs w:val="24"/>
        </w:rPr>
        <w:t xml:space="preserve"> </w:t>
      </w:r>
      <w:r>
        <w:rPr>
          <w:rFonts w:ascii="Tw Cen MT" w:cs="Times New Roman" w:hAnsi="Tw Cen MT"/>
          <w:sz w:val="24"/>
          <w:szCs w:val="24"/>
        </w:rPr>
        <w:t>dependen</w:t>
      </w:r>
      <w:r>
        <w:rPr>
          <w:rFonts w:ascii="Tw Cen MT" w:cs="Times New Roman" w:hAnsi="Tw Cen MT"/>
          <w:sz w:val="24"/>
          <w:szCs w:val="24"/>
        </w:rPr>
        <w:t xml:space="preserve"> (</w:t>
      </w:r>
      <w:r>
        <w:rPr>
          <w:rFonts w:ascii="Tw Cen MT" w:cs="Times New Roman" w:hAnsi="Tw Cen MT"/>
          <w:sz w:val="24"/>
          <w:szCs w:val="24"/>
        </w:rPr>
        <w:t>kejadian</w:t>
      </w:r>
      <w:r>
        <w:rPr>
          <w:rFonts w:ascii="Tw Cen MT" w:cs="Times New Roman" w:hAnsi="Tw Cen MT"/>
          <w:sz w:val="24"/>
          <w:szCs w:val="24"/>
        </w:rPr>
        <w:t xml:space="preserve"> stunting) yang </w:t>
      </w:r>
      <w:r>
        <w:rPr>
          <w:rFonts w:ascii="Tw Cen MT" w:cs="Times New Roman" w:hAnsi="Tw Cen MT"/>
          <w:sz w:val="24"/>
          <w:szCs w:val="24"/>
        </w:rPr>
        <w:t>ditunjukkan</w:t>
      </w:r>
      <w:r>
        <w:rPr>
          <w:rFonts w:ascii="Tw Cen MT" w:cs="Times New Roman" w:hAnsi="Tw Cen MT"/>
          <w:sz w:val="24"/>
          <w:szCs w:val="24"/>
        </w:rPr>
        <w:t xml:space="preserve"> </w:t>
      </w:r>
      <w:r>
        <w:rPr>
          <w:rFonts w:ascii="Tw Cen MT" w:cs="Times New Roman" w:hAnsi="Tw Cen MT"/>
          <w:sz w:val="24"/>
          <w:szCs w:val="24"/>
        </w:rPr>
        <w:t>dengan</w:t>
      </w:r>
      <w:r>
        <w:rPr>
          <w:rFonts w:ascii="Tw Cen MT" w:cs="Times New Roman" w:hAnsi="Tw Cen MT"/>
          <w:sz w:val="24"/>
          <w:szCs w:val="24"/>
        </w:rPr>
        <w:t xml:space="preserve">  p-Value &lt; 0,05 pada CI </w:t>
      </w:r>
      <w:r>
        <w:rPr>
          <w:rFonts w:ascii="Tw Cen MT" w:cs="Times New Roman" w:hAnsi="Tw Cen MT"/>
          <w:i/>
          <w:sz w:val="24"/>
          <w:szCs w:val="24"/>
        </w:rPr>
        <w:t xml:space="preserve">(confident Interval) </w:t>
      </w:r>
      <w:r>
        <w:rPr>
          <w:rFonts w:ascii="Tw Cen MT" w:cs="Times New Roman" w:hAnsi="Tw Cen MT"/>
          <w:sz w:val="24"/>
          <w:szCs w:val="24"/>
        </w:rPr>
        <w:t xml:space="preserve"> 95%. </w:t>
      </w:r>
      <w:r>
        <w:rPr>
          <w:rFonts w:ascii="Tw Cen MT" w:cs="Times New Roman" w:hAnsi="Tw Cen MT"/>
          <w:sz w:val="24"/>
          <w:szCs w:val="24"/>
        </w:rPr>
        <w:t>Hubungan</w:t>
      </w:r>
      <w:r>
        <w:rPr>
          <w:rFonts w:ascii="Tw Cen MT" w:cs="Times New Roman" w:hAnsi="Tw Cen MT"/>
          <w:sz w:val="24"/>
          <w:szCs w:val="24"/>
        </w:rPr>
        <w:t xml:space="preserve"> </w:t>
      </w:r>
      <w:r>
        <w:rPr>
          <w:rFonts w:ascii="Tw Cen MT" w:cs="Times New Roman" w:hAnsi="Tw Cen MT"/>
          <w:sz w:val="24"/>
          <w:szCs w:val="24"/>
        </w:rPr>
        <w:t>keeratan</w:t>
      </w:r>
      <w:r>
        <w:rPr>
          <w:rFonts w:ascii="Tw Cen MT" w:cs="Times New Roman" w:hAnsi="Tw Cen MT"/>
          <w:sz w:val="24"/>
          <w:szCs w:val="24"/>
        </w:rPr>
        <w:t xml:space="preserve"> </w:t>
      </w:r>
      <w:r>
        <w:rPr>
          <w:rFonts w:ascii="Tw Cen MT" w:cs="Times New Roman" w:hAnsi="Tw Cen MT"/>
          <w:sz w:val="24"/>
          <w:szCs w:val="24"/>
        </w:rPr>
        <w:t>antara</w:t>
      </w:r>
      <w:r>
        <w:rPr>
          <w:rFonts w:ascii="Tw Cen MT" w:cs="Times New Roman" w:hAnsi="Tw Cen MT"/>
          <w:sz w:val="24"/>
          <w:szCs w:val="24"/>
        </w:rPr>
        <w:t xml:space="preserve"> </w:t>
      </w:r>
      <w:r>
        <w:rPr>
          <w:rFonts w:ascii="Tw Cen MT" w:cs="Times New Roman" w:hAnsi="Tw Cen MT"/>
          <w:sz w:val="24"/>
          <w:szCs w:val="24"/>
        </w:rPr>
        <w:t>variabel</w:t>
      </w:r>
      <w:r>
        <w:rPr>
          <w:rFonts w:ascii="Tw Cen MT" w:cs="Times New Roman" w:hAnsi="Tw Cen MT"/>
          <w:sz w:val="24"/>
          <w:szCs w:val="24"/>
        </w:rPr>
        <w:t xml:space="preserve"> </w:t>
      </w:r>
      <w:r>
        <w:rPr>
          <w:rFonts w:ascii="Tw Cen MT" w:cs="Times New Roman" w:hAnsi="Tw Cen MT"/>
          <w:sz w:val="24"/>
          <w:szCs w:val="24"/>
        </w:rPr>
        <w:t>independen</w:t>
      </w:r>
      <w:r>
        <w:rPr>
          <w:rFonts w:ascii="Tw Cen MT" w:cs="Times New Roman" w:hAnsi="Tw Cen MT"/>
          <w:sz w:val="24"/>
          <w:szCs w:val="24"/>
        </w:rPr>
        <w:t xml:space="preserve"> </w:t>
      </w:r>
      <w:r>
        <w:rPr>
          <w:rFonts w:ascii="Tw Cen MT" w:cs="Times New Roman" w:hAnsi="Tw Cen MT"/>
          <w:sz w:val="24"/>
          <w:szCs w:val="24"/>
        </w:rPr>
        <w:t>dengan</w:t>
      </w:r>
      <w:r>
        <w:rPr>
          <w:rFonts w:ascii="Tw Cen MT" w:cs="Times New Roman" w:hAnsi="Tw Cen MT"/>
          <w:sz w:val="24"/>
          <w:szCs w:val="24"/>
        </w:rPr>
        <w:t xml:space="preserve"> </w:t>
      </w:r>
      <w:r>
        <w:rPr>
          <w:rFonts w:ascii="Tw Cen MT" w:cs="Times New Roman" w:hAnsi="Tw Cen MT"/>
          <w:sz w:val="24"/>
          <w:szCs w:val="24"/>
        </w:rPr>
        <w:t>variabel</w:t>
      </w:r>
      <w:r>
        <w:rPr>
          <w:rFonts w:ascii="Tw Cen MT" w:cs="Times New Roman" w:hAnsi="Tw Cen MT"/>
          <w:sz w:val="24"/>
          <w:szCs w:val="24"/>
        </w:rPr>
        <w:t xml:space="preserve"> </w:t>
      </w:r>
      <w:r>
        <w:rPr>
          <w:rFonts w:ascii="Tw Cen MT" w:cs="Times New Roman" w:hAnsi="Tw Cen MT"/>
          <w:sz w:val="24"/>
          <w:szCs w:val="24"/>
        </w:rPr>
        <w:t>dependen</w:t>
      </w:r>
      <w:r>
        <w:rPr>
          <w:rFonts w:ascii="Tw Cen MT" w:cs="Times New Roman" w:hAnsi="Tw Cen MT"/>
          <w:sz w:val="24"/>
          <w:szCs w:val="24"/>
        </w:rPr>
        <w:t xml:space="preserve"> </w:t>
      </w:r>
      <w:r>
        <w:rPr>
          <w:rFonts w:ascii="Tw Cen MT" w:cs="Times New Roman" w:hAnsi="Tw Cen MT"/>
          <w:sz w:val="24"/>
          <w:szCs w:val="24"/>
        </w:rPr>
        <w:t>berdasarkan</w:t>
      </w:r>
      <w:r>
        <w:rPr>
          <w:rFonts w:ascii="Tw Cen MT" w:cs="Times New Roman" w:hAnsi="Tw Cen MT"/>
          <w:sz w:val="24"/>
          <w:szCs w:val="24"/>
        </w:rPr>
        <w:t xml:space="preserve"> </w:t>
      </w:r>
      <w:r>
        <w:rPr>
          <w:rFonts w:ascii="Tw Cen MT" w:cs="Times New Roman" w:hAnsi="Tw Cen MT"/>
          <w:sz w:val="24"/>
          <w:szCs w:val="24"/>
        </w:rPr>
        <w:t>hasil</w:t>
      </w:r>
      <w:r>
        <w:rPr>
          <w:rFonts w:ascii="Tw Cen MT" w:cs="Times New Roman" w:hAnsi="Tw Cen MT"/>
          <w:sz w:val="24"/>
          <w:szCs w:val="24"/>
        </w:rPr>
        <w:t xml:space="preserve"> uji </w:t>
      </w:r>
      <w:r>
        <w:rPr>
          <w:rFonts w:ascii="Tw Cen MT" w:cs="Times New Roman" w:hAnsi="Tw Cen MT"/>
          <w:sz w:val="24"/>
          <w:szCs w:val="24"/>
        </w:rPr>
        <w:t>statistik</w:t>
      </w:r>
      <w:r>
        <w:rPr>
          <w:rFonts w:ascii="Tw Cen MT" w:cs="Times New Roman" w:hAnsi="Tw Cen MT"/>
          <w:sz w:val="24"/>
          <w:szCs w:val="24"/>
        </w:rPr>
        <w:t xml:space="preserve"> chi square </w:t>
      </w:r>
      <w:r>
        <w:rPr>
          <w:rFonts w:ascii="Tw Cen MT" w:cs="Times New Roman" w:hAnsi="Tw Cen MT"/>
          <w:sz w:val="24"/>
          <w:szCs w:val="24"/>
        </w:rPr>
        <w:t>dapat</w:t>
      </w:r>
      <w:r>
        <w:rPr>
          <w:rFonts w:ascii="Tw Cen MT" w:cs="Times New Roman" w:hAnsi="Tw Cen MT"/>
          <w:sz w:val="24"/>
          <w:szCs w:val="24"/>
        </w:rPr>
        <w:t xml:space="preserve"> </w:t>
      </w:r>
      <w:r>
        <w:rPr>
          <w:rFonts w:ascii="Tw Cen MT" w:cs="Times New Roman" w:hAnsi="Tw Cen MT"/>
          <w:sz w:val="24"/>
          <w:szCs w:val="24"/>
        </w:rPr>
        <w:t>dilihat</w:t>
      </w:r>
      <w:r>
        <w:rPr>
          <w:rFonts w:ascii="Tw Cen MT" w:cs="Times New Roman" w:hAnsi="Tw Cen MT"/>
          <w:sz w:val="24"/>
          <w:szCs w:val="24"/>
        </w:rPr>
        <w:t xml:space="preserve"> pada </w:t>
      </w:r>
      <w:r>
        <w:rPr>
          <w:rFonts w:ascii="Tw Cen MT" w:cs="Times New Roman" w:hAnsi="Tw Cen MT"/>
          <w:sz w:val="24"/>
          <w:szCs w:val="24"/>
        </w:rPr>
        <w:t>tabel</w:t>
      </w:r>
      <w:r>
        <w:rPr>
          <w:rFonts w:ascii="Tw Cen MT" w:cs="Times New Roman" w:hAnsi="Tw Cen MT"/>
          <w:sz w:val="24"/>
          <w:szCs w:val="24"/>
        </w:rPr>
        <w:t xml:space="preserve"> </w:t>
      </w:r>
      <w:r>
        <w:rPr>
          <w:rFonts w:ascii="Tw Cen MT" w:cs="Times New Roman" w:hAnsi="Tw Cen MT"/>
          <w:sz w:val="24"/>
          <w:szCs w:val="24"/>
        </w:rPr>
        <w:t>berikut</w:t>
      </w:r>
      <w:r>
        <w:rPr>
          <w:rFonts w:ascii="Tw Cen MT" w:cs="Times New Roman" w:hAnsi="Tw Cen MT"/>
          <w:sz w:val="24"/>
          <w:szCs w:val="24"/>
        </w:rPr>
        <w:t xml:space="preserve"> </w:t>
      </w:r>
      <w:r>
        <w:rPr>
          <w:rFonts w:ascii="Tw Cen MT" w:cs="Times New Roman" w:hAnsi="Tw Cen MT"/>
          <w:sz w:val="24"/>
          <w:szCs w:val="24"/>
        </w:rPr>
        <w:t>ini</w:t>
      </w:r>
    </w:p>
    <w:p>
      <w:pPr>
        <w:pStyle w:val="style0"/>
        <w:spacing w:after="0" w:lineRule="auto" w:line="240"/>
        <w:jc w:val="center"/>
        <w:rPr>
          <w:rFonts w:ascii="Tw Cen MT" w:hAnsi="Tw Cen MT"/>
          <w:noProof/>
          <w:sz w:val="20"/>
          <w:szCs w:val="20"/>
          <w:lang w:eastAsia="id-ID"/>
        </w:rPr>
      </w:pPr>
      <w:r>
        <w:rPr>
          <w:rFonts w:ascii="Tw Cen MT" w:hAnsi="Tw Cen MT"/>
          <w:noProof/>
          <w:sz w:val="20"/>
          <w:szCs w:val="20"/>
          <w:lang w:eastAsia="id-ID"/>
        </w:rPr>
        <w:t>Tabel 2</w:t>
      </w:r>
    </w:p>
    <w:p>
      <w:pPr>
        <w:pStyle w:val="style0"/>
        <w:spacing w:after="0" w:lineRule="auto" w:line="240"/>
        <w:jc w:val="center"/>
        <w:rPr>
          <w:rFonts w:ascii="Tw Cen MT" w:hAnsi="Tw Cen MT"/>
          <w:noProof/>
          <w:sz w:val="20"/>
          <w:szCs w:val="20"/>
          <w:lang w:eastAsia="id-ID"/>
        </w:rPr>
      </w:pPr>
      <w:r>
        <w:rPr>
          <w:rFonts w:ascii="Tw Cen MT" w:hAnsi="Tw Cen MT"/>
          <w:noProof/>
          <w:sz w:val="20"/>
          <w:szCs w:val="20"/>
          <w:lang w:eastAsia="id-ID"/>
        </w:rPr>
        <w:t>Hubungan Koping Keluarga dengan Kejadian Stunting pada Anak Balita di Desa Air Jernih Wilayah Kerja Puskesmas Pekanheran</w:t>
      </w:r>
    </w:p>
    <w:p>
      <w:pPr>
        <w:pStyle w:val="style0"/>
        <w:spacing w:after="0" w:lineRule="auto" w:line="240"/>
        <w:jc w:val="center"/>
        <w:rPr>
          <w:rFonts w:ascii="Tw Cen MT" w:hAnsi="Tw Cen MT"/>
          <w:noProof/>
          <w:sz w:val="20"/>
          <w:szCs w:val="20"/>
          <w:lang w:eastAsia="id-ID"/>
        </w:rPr>
      </w:pP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67"/>
        <w:gridCol w:w="567"/>
        <w:gridCol w:w="425"/>
        <w:gridCol w:w="709"/>
        <w:gridCol w:w="425"/>
        <w:gridCol w:w="567"/>
        <w:gridCol w:w="709"/>
      </w:tblGrid>
      <w:tr>
        <w:trPr>
          <w:jc w:val="center"/>
        </w:trPr>
        <w:tc>
          <w:tcPr>
            <w:tcW w:w="1134" w:type="dxa"/>
            <w:vMerge w:val="restart"/>
            <w:tcBorders>
              <w:left w:val="nil"/>
              <w:right w:val="nil"/>
            </w:tcBorders>
          </w:tcPr>
          <w:p>
            <w:pPr>
              <w:pStyle w:val="style0"/>
              <w:spacing w:after="0" w:lineRule="auto" w:line="240"/>
              <w:jc w:val="center"/>
              <w:contextualSpacing/>
              <w:rPr>
                <w:rFonts w:ascii="Tw Cen MT" w:hAnsi="Tw Cen MT"/>
                <w:noProof/>
                <w:sz w:val="18"/>
                <w:szCs w:val="18"/>
                <w:lang w:eastAsia="id-ID"/>
              </w:rPr>
            </w:pPr>
            <w:r>
              <w:rPr>
                <w:rFonts w:ascii="Tw Cen MT" w:hAnsi="Tw Cen MT"/>
                <w:noProof/>
                <w:sz w:val="18"/>
                <w:szCs w:val="18"/>
                <w:lang w:eastAsia="id-ID"/>
              </w:rPr>
              <w:t xml:space="preserve">Status </w:t>
            </w:r>
          </w:p>
        </w:tc>
        <w:tc>
          <w:tcPr>
            <w:tcW w:w="2268" w:type="dxa"/>
            <w:gridSpan w:val="4"/>
            <w:tcBorders>
              <w:left w:val="nil"/>
              <w:right w:val="nil"/>
            </w:tcBorders>
          </w:tcPr>
          <w:p>
            <w:pPr>
              <w:pStyle w:val="style0"/>
              <w:spacing w:after="0" w:lineRule="auto" w:line="240"/>
              <w:jc w:val="center"/>
              <w:contextualSpacing/>
              <w:rPr>
                <w:rFonts w:ascii="Tw Cen MT" w:hAnsi="Tw Cen MT"/>
                <w:noProof/>
                <w:sz w:val="18"/>
                <w:szCs w:val="18"/>
                <w:lang w:eastAsia="id-ID"/>
              </w:rPr>
            </w:pPr>
            <w:r>
              <w:rPr>
                <w:rFonts w:ascii="Tw Cen MT" w:hAnsi="Tw Cen MT"/>
                <w:noProof/>
                <w:sz w:val="18"/>
                <w:szCs w:val="18"/>
                <w:lang w:eastAsia="id-ID"/>
              </w:rPr>
              <w:t>Koping Keluarga</w:t>
            </w:r>
          </w:p>
        </w:tc>
        <w:tc>
          <w:tcPr>
            <w:tcW w:w="992" w:type="dxa"/>
            <w:gridSpan w:val="2"/>
            <w:vMerge w:val="restart"/>
            <w:tcBorders>
              <w:left w:val="nil"/>
              <w:right w:val="nil"/>
            </w:tcBorders>
          </w:tcPr>
          <w:p>
            <w:pPr>
              <w:pStyle w:val="style0"/>
              <w:spacing w:after="0" w:lineRule="auto" w:line="240"/>
              <w:jc w:val="center"/>
              <w:contextualSpacing/>
              <w:rPr>
                <w:rFonts w:ascii="Tw Cen MT" w:hAnsi="Tw Cen MT"/>
                <w:noProof/>
                <w:sz w:val="18"/>
                <w:szCs w:val="18"/>
                <w:lang w:eastAsia="id-ID"/>
              </w:rPr>
            </w:pPr>
            <w:r>
              <w:rPr>
                <w:rFonts w:ascii="Tw Cen MT" w:hAnsi="Tw Cen MT"/>
                <w:noProof/>
                <w:sz w:val="18"/>
                <w:szCs w:val="18"/>
                <w:lang w:eastAsia="id-ID"/>
              </w:rPr>
              <w:t>Total</w:t>
            </w:r>
          </w:p>
        </w:tc>
        <w:tc>
          <w:tcPr>
            <w:tcW w:w="709" w:type="dxa"/>
            <w:vMerge w:val="restart"/>
            <w:tcBorders>
              <w:left w:val="nil"/>
              <w:right w:val="nil"/>
            </w:tcBorders>
          </w:tcPr>
          <w:p>
            <w:pPr>
              <w:pStyle w:val="style0"/>
              <w:spacing w:after="0" w:lineRule="auto" w:line="240"/>
              <w:jc w:val="center"/>
              <w:contextualSpacing/>
              <w:rPr>
                <w:rFonts w:ascii="Tw Cen MT" w:hAnsi="Tw Cen MT"/>
                <w:noProof/>
                <w:sz w:val="18"/>
                <w:szCs w:val="18"/>
                <w:lang w:eastAsia="id-ID"/>
              </w:rPr>
            </w:pPr>
            <w:r>
              <w:rPr>
                <w:rFonts w:ascii="Tw Cen MT" w:hAnsi="Tw Cen MT"/>
                <w:noProof/>
                <w:sz w:val="18"/>
                <w:szCs w:val="18"/>
                <w:lang w:eastAsia="id-ID"/>
              </w:rPr>
              <w:t xml:space="preserve">P Value </w:t>
            </w:r>
          </w:p>
        </w:tc>
      </w:tr>
      <w:tr>
        <w:tblPrEx/>
        <w:trPr>
          <w:jc w:val="center"/>
        </w:trPr>
        <w:tc>
          <w:tcPr>
            <w:tcW w:w="1134" w:type="dxa"/>
            <w:vMerge w:val="continue"/>
            <w:tcBorders>
              <w:left w:val="nil"/>
              <w:bottom w:val="nil"/>
              <w:right w:val="nil"/>
            </w:tcBorders>
          </w:tcPr>
          <w:p>
            <w:pPr>
              <w:pStyle w:val="style0"/>
              <w:spacing w:after="0" w:lineRule="auto" w:line="240"/>
              <w:jc w:val="center"/>
              <w:contextualSpacing/>
              <w:rPr>
                <w:rFonts w:ascii="Tw Cen MT" w:hAnsi="Tw Cen MT"/>
                <w:noProof/>
                <w:sz w:val="18"/>
                <w:szCs w:val="18"/>
                <w:lang w:eastAsia="id-ID"/>
              </w:rPr>
            </w:pPr>
          </w:p>
        </w:tc>
        <w:tc>
          <w:tcPr>
            <w:tcW w:w="1134" w:type="dxa"/>
            <w:gridSpan w:val="2"/>
            <w:tcBorders>
              <w:left w:val="nil"/>
              <w:right w:val="nil"/>
            </w:tcBorders>
          </w:tcPr>
          <w:p>
            <w:pPr>
              <w:pStyle w:val="style0"/>
              <w:spacing w:after="0" w:lineRule="auto" w:line="240"/>
              <w:jc w:val="center"/>
              <w:contextualSpacing/>
              <w:rPr>
                <w:rFonts w:ascii="Tw Cen MT" w:hAnsi="Tw Cen MT"/>
                <w:noProof/>
                <w:sz w:val="18"/>
                <w:szCs w:val="18"/>
                <w:lang w:eastAsia="id-ID"/>
              </w:rPr>
            </w:pPr>
            <w:r>
              <w:rPr>
                <w:rFonts w:ascii="Tw Cen MT" w:hAnsi="Tw Cen MT"/>
                <w:noProof/>
                <w:sz w:val="18"/>
                <w:szCs w:val="18"/>
                <w:lang w:eastAsia="id-ID"/>
              </w:rPr>
              <w:t>Adaptif</w:t>
            </w:r>
          </w:p>
        </w:tc>
        <w:tc>
          <w:tcPr>
            <w:tcW w:w="1134" w:type="dxa"/>
            <w:gridSpan w:val="2"/>
            <w:tcBorders>
              <w:left w:val="nil"/>
              <w:right w:val="nil"/>
            </w:tcBorders>
          </w:tcPr>
          <w:p>
            <w:pPr>
              <w:pStyle w:val="style0"/>
              <w:spacing w:after="0" w:lineRule="auto" w:line="240"/>
              <w:jc w:val="center"/>
              <w:contextualSpacing/>
              <w:rPr>
                <w:rFonts w:ascii="Tw Cen MT" w:hAnsi="Tw Cen MT"/>
                <w:noProof/>
                <w:sz w:val="18"/>
                <w:szCs w:val="18"/>
                <w:lang w:eastAsia="id-ID"/>
              </w:rPr>
            </w:pPr>
            <w:r>
              <w:rPr>
                <w:rFonts w:ascii="Tw Cen MT" w:hAnsi="Tw Cen MT"/>
                <w:noProof/>
                <w:sz w:val="18"/>
                <w:szCs w:val="18"/>
                <w:lang w:eastAsia="id-ID"/>
              </w:rPr>
              <w:t xml:space="preserve"> Maladaptif</w:t>
            </w:r>
          </w:p>
        </w:tc>
        <w:tc>
          <w:tcPr>
            <w:tcW w:w="992" w:type="dxa"/>
            <w:gridSpan w:val="2"/>
            <w:vMerge w:val="continue"/>
            <w:tcBorders>
              <w:left w:val="nil"/>
              <w:right w:val="nil"/>
            </w:tcBorders>
          </w:tcPr>
          <w:p>
            <w:pPr>
              <w:pStyle w:val="style0"/>
              <w:spacing w:after="0" w:lineRule="auto" w:line="240"/>
              <w:jc w:val="center"/>
              <w:contextualSpacing/>
              <w:rPr>
                <w:rFonts w:ascii="Tw Cen MT" w:hAnsi="Tw Cen MT"/>
                <w:noProof/>
                <w:sz w:val="18"/>
                <w:szCs w:val="18"/>
                <w:lang w:eastAsia="id-ID"/>
              </w:rPr>
            </w:pPr>
          </w:p>
        </w:tc>
        <w:tc>
          <w:tcPr>
            <w:tcW w:w="709" w:type="dxa"/>
            <w:vMerge w:val="continue"/>
            <w:tcBorders>
              <w:left w:val="nil"/>
              <w:bottom w:val="nil"/>
              <w:right w:val="nil"/>
            </w:tcBorders>
          </w:tcPr>
          <w:p>
            <w:pPr>
              <w:pStyle w:val="style0"/>
              <w:spacing w:after="0" w:lineRule="auto" w:line="240"/>
              <w:jc w:val="center"/>
              <w:contextualSpacing/>
              <w:rPr>
                <w:rFonts w:ascii="Tw Cen MT" w:hAnsi="Tw Cen MT"/>
                <w:noProof/>
                <w:sz w:val="18"/>
                <w:szCs w:val="18"/>
                <w:lang w:eastAsia="id-ID"/>
              </w:rPr>
            </w:pPr>
          </w:p>
        </w:tc>
      </w:tr>
      <w:tr>
        <w:tblPrEx/>
        <w:trPr>
          <w:jc w:val="center"/>
        </w:trPr>
        <w:tc>
          <w:tcPr>
            <w:tcW w:w="1134" w:type="dxa"/>
            <w:tcBorders>
              <w:top w:val="nil"/>
              <w:left w:val="nil"/>
              <w:right w:val="nil"/>
            </w:tcBorders>
          </w:tcPr>
          <w:p>
            <w:pPr>
              <w:pStyle w:val="style0"/>
              <w:spacing w:after="0" w:lineRule="auto" w:line="240"/>
              <w:jc w:val="center"/>
              <w:contextualSpacing/>
              <w:rPr>
                <w:rFonts w:ascii="Tw Cen MT" w:hAnsi="Tw Cen MT"/>
                <w:noProof/>
                <w:sz w:val="18"/>
                <w:szCs w:val="18"/>
                <w:lang w:eastAsia="id-ID"/>
              </w:rPr>
            </w:pPr>
          </w:p>
        </w:tc>
        <w:tc>
          <w:tcPr>
            <w:tcW w:w="567" w:type="dxa"/>
            <w:tcBorders>
              <w:left w:val="nil"/>
              <w:right w:val="nil"/>
            </w:tcBorders>
          </w:tcPr>
          <w:p>
            <w:pPr>
              <w:pStyle w:val="style0"/>
              <w:spacing w:after="0" w:lineRule="auto" w:line="240"/>
              <w:jc w:val="center"/>
              <w:contextualSpacing/>
              <w:rPr>
                <w:rFonts w:ascii="Tw Cen MT" w:hAnsi="Tw Cen MT"/>
                <w:noProof/>
                <w:sz w:val="18"/>
                <w:szCs w:val="18"/>
                <w:lang w:eastAsia="id-ID"/>
              </w:rPr>
            </w:pPr>
            <w:r>
              <w:rPr>
                <w:rFonts w:ascii="Tw Cen MT" w:hAnsi="Tw Cen MT"/>
                <w:noProof/>
                <w:sz w:val="18"/>
                <w:szCs w:val="18"/>
                <w:lang w:eastAsia="id-ID"/>
              </w:rPr>
              <w:t>n</w:t>
            </w:r>
          </w:p>
        </w:tc>
        <w:tc>
          <w:tcPr>
            <w:tcW w:w="567" w:type="dxa"/>
            <w:tcBorders>
              <w:left w:val="nil"/>
              <w:right w:val="nil"/>
            </w:tcBorders>
          </w:tcPr>
          <w:p>
            <w:pPr>
              <w:pStyle w:val="style0"/>
              <w:spacing w:after="0" w:lineRule="auto" w:line="240"/>
              <w:jc w:val="center"/>
              <w:contextualSpacing/>
              <w:rPr>
                <w:rFonts w:ascii="Tw Cen MT" w:hAnsi="Tw Cen MT"/>
                <w:noProof/>
                <w:sz w:val="18"/>
                <w:szCs w:val="18"/>
                <w:lang w:eastAsia="id-ID"/>
              </w:rPr>
            </w:pPr>
            <w:r>
              <w:rPr>
                <w:rFonts w:ascii="Tw Cen MT" w:hAnsi="Tw Cen MT"/>
                <w:noProof/>
                <w:sz w:val="18"/>
                <w:szCs w:val="18"/>
                <w:lang w:eastAsia="id-ID"/>
              </w:rPr>
              <w:t>%</w:t>
            </w:r>
          </w:p>
        </w:tc>
        <w:tc>
          <w:tcPr>
            <w:tcW w:w="425" w:type="dxa"/>
            <w:tcBorders>
              <w:left w:val="nil"/>
              <w:right w:val="nil"/>
            </w:tcBorders>
          </w:tcPr>
          <w:p>
            <w:pPr>
              <w:pStyle w:val="style0"/>
              <w:spacing w:after="0" w:lineRule="auto" w:line="240"/>
              <w:jc w:val="center"/>
              <w:contextualSpacing/>
              <w:rPr>
                <w:rFonts w:ascii="Tw Cen MT" w:hAnsi="Tw Cen MT"/>
                <w:noProof/>
                <w:sz w:val="18"/>
                <w:szCs w:val="18"/>
                <w:lang w:eastAsia="id-ID"/>
              </w:rPr>
            </w:pPr>
            <w:r>
              <w:rPr>
                <w:rFonts w:ascii="Tw Cen MT" w:hAnsi="Tw Cen MT"/>
                <w:noProof/>
                <w:sz w:val="18"/>
                <w:szCs w:val="18"/>
                <w:lang w:eastAsia="id-ID"/>
              </w:rPr>
              <w:t>n</w:t>
            </w:r>
          </w:p>
        </w:tc>
        <w:tc>
          <w:tcPr>
            <w:tcW w:w="709" w:type="dxa"/>
            <w:tcBorders>
              <w:left w:val="nil"/>
              <w:right w:val="nil"/>
            </w:tcBorders>
          </w:tcPr>
          <w:p>
            <w:pPr>
              <w:pStyle w:val="style0"/>
              <w:spacing w:after="0" w:lineRule="auto" w:line="240"/>
              <w:jc w:val="center"/>
              <w:contextualSpacing/>
              <w:rPr>
                <w:rFonts w:ascii="Tw Cen MT" w:hAnsi="Tw Cen MT"/>
                <w:noProof/>
                <w:sz w:val="18"/>
                <w:szCs w:val="18"/>
                <w:lang w:eastAsia="id-ID"/>
              </w:rPr>
            </w:pPr>
            <w:r>
              <w:rPr>
                <w:rFonts w:ascii="Tw Cen MT" w:hAnsi="Tw Cen MT"/>
                <w:noProof/>
                <w:sz w:val="18"/>
                <w:szCs w:val="18"/>
                <w:lang w:eastAsia="id-ID"/>
              </w:rPr>
              <w:t>%</w:t>
            </w:r>
          </w:p>
        </w:tc>
        <w:tc>
          <w:tcPr>
            <w:tcW w:w="425" w:type="dxa"/>
            <w:tcBorders>
              <w:left w:val="nil"/>
              <w:right w:val="nil"/>
            </w:tcBorders>
          </w:tcPr>
          <w:p>
            <w:pPr>
              <w:pStyle w:val="style0"/>
              <w:spacing w:after="0" w:lineRule="auto" w:line="240"/>
              <w:jc w:val="center"/>
              <w:contextualSpacing/>
              <w:rPr>
                <w:rFonts w:ascii="Tw Cen MT" w:hAnsi="Tw Cen MT"/>
                <w:noProof/>
                <w:sz w:val="18"/>
                <w:szCs w:val="18"/>
                <w:lang w:eastAsia="id-ID"/>
              </w:rPr>
            </w:pPr>
            <w:r>
              <w:rPr>
                <w:rFonts w:ascii="Tw Cen MT" w:hAnsi="Tw Cen MT"/>
                <w:noProof/>
                <w:sz w:val="18"/>
                <w:szCs w:val="18"/>
                <w:lang w:eastAsia="id-ID"/>
              </w:rPr>
              <w:t>n</w:t>
            </w:r>
          </w:p>
        </w:tc>
        <w:tc>
          <w:tcPr>
            <w:tcW w:w="567" w:type="dxa"/>
            <w:tcBorders>
              <w:left w:val="nil"/>
              <w:right w:val="nil"/>
            </w:tcBorders>
          </w:tcPr>
          <w:p>
            <w:pPr>
              <w:pStyle w:val="style0"/>
              <w:spacing w:after="0" w:lineRule="auto" w:line="240"/>
              <w:jc w:val="center"/>
              <w:contextualSpacing/>
              <w:rPr>
                <w:rFonts w:ascii="Tw Cen MT" w:hAnsi="Tw Cen MT"/>
                <w:noProof/>
                <w:sz w:val="18"/>
                <w:szCs w:val="18"/>
                <w:lang w:eastAsia="id-ID"/>
              </w:rPr>
            </w:pPr>
            <w:r>
              <w:rPr>
                <w:rFonts w:ascii="Tw Cen MT" w:hAnsi="Tw Cen MT"/>
                <w:noProof/>
                <w:sz w:val="18"/>
                <w:szCs w:val="18"/>
                <w:lang w:eastAsia="id-ID"/>
              </w:rPr>
              <w:t>%</w:t>
            </w:r>
          </w:p>
        </w:tc>
        <w:tc>
          <w:tcPr>
            <w:tcW w:w="709" w:type="dxa"/>
            <w:tcBorders>
              <w:top w:val="nil"/>
              <w:left w:val="nil"/>
              <w:right w:val="nil"/>
            </w:tcBorders>
          </w:tcPr>
          <w:p>
            <w:pPr>
              <w:pStyle w:val="style0"/>
              <w:spacing w:after="0" w:lineRule="auto" w:line="240"/>
              <w:jc w:val="center"/>
              <w:contextualSpacing/>
              <w:rPr>
                <w:rFonts w:ascii="Tw Cen MT" w:hAnsi="Tw Cen MT"/>
                <w:noProof/>
                <w:sz w:val="18"/>
                <w:szCs w:val="18"/>
                <w:lang w:eastAsia="id-ID"/>
              </w:rPr>
            </w:pPr>
          </w:p>
        </w:tc>
      </w:tr>
      <w:tr>
        <w:tblPrEx/>
        <w:trPr>
          <w:jc w:val="center"/>
        </w:trPr>
        <w:tc>
          <w:tcPr>
            <w:tcW w:w="1134" w:type="dxa"/>
            <w:tcBorders>
              <w:left w:val="nil"/>
              <w:right w:val="nil"/>
            </w:tcBorders>
          </w:tcPr>
          <w:p>
            <w:pPr>
              <w:pStyle w:val="style0"/>
              <w:spacing w:after="0" w:lineRule="auto" w:line="240"/>
              <w:contextualSpacing/>
              <w:rPr>
                <w:rFonts w:ascii="Tw Cen MT" w:hAnsi="Tw Cen MT"/>
                <w:noProof/>
                <w:sz w:val="18"/>
                <w:szCs w:val="18"/>
                <w:lang w:eastAsia="id-ID"/>
              </w:rPr>
            </w:pPr>
            <w:r>
              <w:rPr>
                <w:rFonts w:ascii="Tw Cen MT" w:hAnsi="Tw Cen MT"/>
                <w:noProof/>
                <w:sz w:val="18"/>
                <w:szCs w:val="18"/>
                <w:lang w:eastAsia="id-ID"/>
              </w:rPr>
              <w:t>Stunting</w:t>
            </w:r>
          </w:p>
        </w:tc>
        <w:tc>
          <w:tcPr>
            <w:tcW w:w="567" w:type="dxa"/>
            <w:tcBorders>
              <w:left w:val="nil"/>
              <w:right w:val="nil"/>
            </w:tcBorders>
          </w:tcPr>
          <w:p>
            <w:pPr>
              <w:pStyle w:val="style0"/>
              <w:spacing w:after="0" w:lineRule="auto" w:line="240"/>
              <w:jc w:val="center"/>
              <w:contextualSpacing/>
              <w:rPr>
                <w:rFonts w:ascii="Tw Cen MT" w:hAnsi="Tw Cen MT"/>
                <w:noProof/>
                <w:sz w:val="18"/>
                <w:szCs w:val="18"/>
                <w:lang w:eastAsia="id-ID"/>
              </w:rPr>
            </w:pPr>
            <w:r>
              <w:rPr>
                <w:rFonts w:ascii="Tw Cen MT" w:hAnsi="Tw Cen MT"/>
                <w:noProof/>
                <w:sz w:val="18"/>
                <w:szCs w:val="18"/>
                <w:lang w:eastAsia="id-ID"/>
              </w:rPr>
              <w:t>9</w:t>
            </w:r>
          </w:p>
        </w:tc>
        <w:tc>
          <w:tcPr>
            <w:tcW w:w="567" w:type="dxa"/>
            <w:tcBorders>
              <w:left w:val="nil"/>
              <w:right w:val="nil"/>
            </w:tcBorders>
          </w:tcPr>
          <w:p>
            <w:pPr>
              <w:pStyle w:val="style0"/>
              <w:spacing w:after="0" w:lineRule="auto" w:line="240"/>
              <w:jc w:val="center"/>
              <w:contextualSpacing/>
              <w:rPr>
                <w:rFonts w:ascii="Tw Cen MT" w:hAnsi="Tw Cen MT"/>
                <w:noProof/>
                <w:sz w:val="18"/>
                <w:szCs w:val="18"/>
                <w:lang w:eastAsia="id-ID"/>
              </w:rPr>
            </w:pPr>
            <w:r>
              <w:rPr>
                <w:rFonts w:ascii="Tw Cen MT" w:hAnsi="Tw Cen MT"/>
                <w:noProof/>
                <w:sz w:val="18"/>
                <w:szCs w:val="18"/>
                <w:lang w:eastAsia="id-ID"/>
              </w:rPr>
              <w:t>90</w:t>
            </w:r>
          </w:p>
        </w:tc>
        <w:tc>
          <w:tcPr>
            <w:tcW w:w="425" w:type="dxa"/>
            <w:tcBorders>
              <w:left w:val="nil"/>
              <w:right w:val="nil"/>
            </w:tcBorders>
          </w:tcPr>
          <w:p>
            <w:pPr>
              <w:pStyle w:val="style0"/>
              <w:spacing w:after="0" w:lineRule="auto" w:line="240"/>
              <w:jc w:val="center"/>
              <w:contextualSpacing/>
              <w:rPr>
                <w:rFonts w:ascii="Tw Cen MT" w:hAnsi="Tw Cen MT"/>
                <w:noProof/>
                <w:sz w:val="18"/>
                <w:szCs w:val="18"/>
                <w:lang w:eastAsia="id-ID"/>
              </w:rPr>
            </w:pPr>
            <w:r>
              <w:rPr>
                <w:rFonts w:ascii="Tw Cen MT" w:hAnsi="Tw Cen MT"/>
                <w:noProof/>
                <w:sz w:val="18"/>
                <w:szCs w:val="18"/>
                <w:lang w:eastAsia="id-ID"/>
              </w:rPr>
              <w:t>1</w:t>
            </w:r>
          </w:p>
        </w:tc>
        <w:tc>
          <w:tcPr>
            <w:tcW w:w="709" w:type="dxa"/>
            <w:tcBorders>
              <w:left w:val="nil"/>
              <w:right w:val="nil"/>
            </w:tcBorders>
          </w:tcPr>
          <w:p>
            <w:pPr>
              <w:pStyle w:val="style0"/>
              <w:spacing w:after="0" w:lineRule="auto" w:line="240"/>
              <w:jc w:val="center"/>
              <w:contextualSpacing/>
              <w:rPr>
                <w:rFonts w:ascii="Tw Cen MT" w:hAnsi="Tw Cen MT"/>
                <w:noProof/>
                <w:sz w:val="18"/>
                <w:szCs w:val="18"/>
                <w:lang w:eastAsia="id-ID"/>
              </w:rPr>
            </w:pPr>
            <w:r>
              <w:rPr>
                <w:rFonts w:ascii="Tw Cen MT" w:hAnsi="Tw Cen MT"/>
                <w:noProof/>
                <w:sz w:val="18"/>
                <w:szCs w:val="18"/>
                <w:lang w:eastAsia="id-ID"/>
              </w:rPr>
              <w:t>10</w:t>
            </w:r>
          </w:p>
        </w:tc>
        <w:tc>
          <w:tcPr>
            <w:tcW w:w="425" w:type="dxa"/>
            <w:tcBorders>
              <w:left w:val="nil"/>
              <w:right w:val="nil"/>
            </w:tcBorders>
          </w:tcPr>
          <w:p>
            <w:pPr>
              <w:pStyle w:val="style0"/>
              <w:spacing w:after="0" w:lineRule="auto" w:line="240"/>
              <w:jc w:val="center"/>
              <w:contextualSpacing/>
              <w:rPr>
                <w:rFonts w:ascii="Tw Cen MT" w:hAnsi="Tw Cen MT"/>
                <w:noProof/>
                <w:sz w:val="18"/>
                <w:szCs w:val="18"/>
                <w:lang w:eastAsia="id-ID"/>
              </w:rPr>
            </w:pPr>
            <w:r>
              <w:rPr>
                <w:rFonts w:ascii="Tw Cen MT" w:hAnsi="Tw Cen MT"/>
                <w:noProof/>
                <w:sz w:val="18"/>
                <w:szCs w:val="18"/>
                <w:lang w:eastAsia="id-ID"/>
              </w:rPr>
              <w:t>10</w:t>
            </w:r>
          </w:p>
        </w:tc>
        <w:tc>
          <w:tcPr>
            <w:tcW w:w="567" w:type="dxa"/>
            <w:tcBorders>
              <w:left w:val="nil"/>
              <w:right w:val="nil"/>
            </w:tcBorders>
          </w:tcPr>
          <w:p>
            <w:pPr>
              <w:pStyle w:val="style0"/>
              <w:spacing w:after="0" w:lineRule="auto" w:line="240"/>
              <w:jc w:val="center"/>
              <w:contextualSpacing/>
              <w:rPr>
                <w:rFonts w:ascii="Tw Cen MT" w:hAnsi="Tw Cen MT"/>
                <w:noProof/>
                <w:sz w:val="18"/>
                <w:szCs w:val="18"/>
                <w:lang w:eastAsia="id-ID"/>
              </w:rPr>
            </w:pPr>
            <w:r>
              <w:rPr>
                <w:rFonts w:ascii="Tw Cen MT" w:hAnsi="Tw Cen MT"/>
                <w:noProof/>
                <w:sz w:val="18"/>
                <w:szCs w:val="18"/>
                <w:lang w:eastAsia="id-ID"/>
              </w:rPr>
              <w:t>100</w:t>
            </w:r>
          </w:p>
        </w:tc>
        <w:tc>
          <w:tcPr>
            <w:tcW w:w="709" w:type="dxa"/>
            <w:vMerge w:val="restart"/>
            <w:tcBorders>
              <w:left w:val="nil"/>
              <w:right w:val="nil"/>
            </w:tcBorders>
          </w:tcPr>
          <w:p>
            <w:pPr>
              <w:pStyle w:val="style0"/>
              <w:spacing w:after="0" w:lineRule="auto" w:line="240"/>
              <w:jc w:val="center"/>
              <w:contextualSpacing/>
              <w:rPr>
                <w:rFonts w:ascii="Tw Cen MT" w:hAnsi="Tw Cen MT"/>
                <w:noProof/>
                <w:sz w:val="18"/>
                <w:szCs w:val="18"/>
                <w:lang w:eastAsia="id-ID"/>
              </w:rPr>
            </w:pPr>
            <w:r>
              <w:rPr>
                <w:rFonts w:ascii="Tw Cen MT" w:hAnsi="Tw Cen MT"/>
                <w:noProof/>
                <w:sz w:val="18"/>
                <w:szCs w:val="18"/>
                <w:lang w:eastAsia="id-ID"/>
              </w:rPr>
              <w:t>0,282</w:t>
            </w:r>
          </w:p>
        </w:tc>
      </w:tr>
      <w:tr>
        <w:tblPrEx/>
        <w:trPr>
          <w:jc w:val="center"/>
        </w:trPr>
        <w:tc>
          <w:tcPr>
            <w:tcW w:w="1134" w:type="dxa"/>
            <w:tcBorders>
              <w:left w:val="nil"/>
              <w:right w:val="nil"/>
            </w:tcBorders>
          </w:tcPr>
          <w:p>
            <w:pPr>
              <w:pStyle w:val="style0"/>
              <w:spacing w:after="0" w:lineRule="auto" w:line="240"/>
              <w:ind w:left="-110"/>
              <w:contextualSpacing/>
              <w:rPr>
                <w:rFonts w:ascii="Tw Cen MT" w:hAnsi="Tw Cen MT"/>
                <w:noProof/>
                <w:sz w:val="18"/>
                <w:szCs w:val="18"/>
                <w:lang w:eastAsia="id-ID"/>
              </w:rPr>
            </w:pPr>
            <w:r>
              <w:rPr>
                <w:rFonts w:ascii="Tw Cen MT" w:hAnsi="Tw Cen MT"/>
                <w:noProof/>
                <w:sz w:val="18"/>
                <w:szCs w:val="18"/>
                <w:lang w:eastAsia="id-ID"/>
              </w:rPr>
              <w:t>Tidak Stunting</w:t>
            </w:r>
          </w:p>
        </w:tc>
        <w:tc>
          <w:tcPr>
            <w:tcW w:w="567" w:type="dxa"/>
            <w:tcBorders>
              <w:left w:val="nil"/>
              <w:right w:val="nil"/>
            </w:tcBorders>
          </w:tcPr>
          <w:p>
            <w:pPr>
              <w:pStyle w:val="style0"/>
              <w:spacing w:after="0" w:lineRule="auto" w:line="240"/>
              <w:jc w:val="center"/>
              <w:contextualSpacing/>
              <w:rPr>
                <w:rFonts w:ascii="Tw Cen MT" w:hAnsi="Tw Cen MT"/>
                <w:noProof/>
                <w:sz w:val="18"/>
                <w:szCs w:val="18"/>
                <w:lang w:eastAsia="id-ID"/>
              </w:rPr>
            </w:pPr>
            <w:r>
              <w:rPr>
                <w:rFonts w:ascii="Tw Cen MT" w:hAnsi="Tw Cen MT"/>
                <w:noProof/>
                <w:sz w:val="18"/>
                <w:szCs w:val="18"/>
                <w:lang w:eastAsia="id-ID"/>
              </w:rPr>
              <w:t>59</w:t>
            </w:r>
          </w:p>
        </w:tc>
        <w:tc>
          <w:tcPr>
            <w:tcW w:w="567" w:type="dxa"/>
            <w:tcBorders>
              <w:left w:val="nil"/>
              <w:right w:val="nil"/>
            </w:tcBorders>
          </w:tcPr>
          <w:p>
            <w:pPr>
              <w:pStyle w:val="style0"/>
              <w:spacing w:after="0" w:lineRule="auto" w:line="240"/>
              <w:jc w:val="center"/>
              <w:contextualSpacing/>
              <w:rPr>
                <w:rFonts w:ascii="Tw Cen MT" w:hAnsi="Tw Cen MT"/>
                <w:noProof/>
                <w:sz w:val="18"/>
                <w:szCs w:val="18"/>
                <w:lang w:eastAsia="id-ID"/>
              </w:rPr>
            </w:pPr>
            <w:r>
              <w:rPr>
                <w:rFonts w:ascii="Tw Cen MT" w:hAnsi="Tw Cen MT"/>
                <w:noProof/>
                <w:sz w:val="18"/>
                <w:szCs w:val="18"/>
                <w:lang w:eastAsia="id-ID"/>
              </w:rPr>
              <w:t>74,7</w:t>
            </w:r>
          </w:p>
        </w:tc>
        <w:tc>
          <w:tcPr>
            <w:tcW w:w="425" w:type="dxa"/>
            <w:tcBorders>
              <w:left w:val="nil"/>
              <w:right w:val="nil"/>
            </w:tcBorders>
          </w:tcPr>
          <w:p>
            <w:pPr>
              <w:pStyle w:val="style0"/>
              <w:spacing w:after="0" w:lineRule="auto" w:line="240"/>
              <w:jc w:val="center"/>
              <w:contextualSpacing/>
              <w:rPr>
                <w:rFonts w:ascii="Tw Cen MT" w:hAnsi="Tw Cen MT"/>
                <w:noProof/>
                <w:sz w:val="18"/>
                <w:szCs w:val="18"/>
                <w:lang w:eastAsia="id-ID"/>
              </w:rPr>
            </w:pPr>
            <w:r>
              <w:rPr>
                <w:rFonts w:ascii="Tw Cen MT" w:hAnsi="Tw Cen MT"/>
                <w:noProof/>
                <w:sz w:val="18"/>
                <w:szCs w:val="18"/>
                <w:lang w:eastAsia="id-ID"/>
              </w:rPr>
              <w:t>20</w:t>
            </w:r>
          </w:p>
        </w:tc>
        <w:tc>
          <w:tcPr>
            <w:tcW w:w="709" w:type="dxa"/>
            <w:tcBorders>
              <w:left w:val="nil"/>
              <w:right w:val="nil"/>
            </w:tcBorders>
          </w:tcPr>
          <w:p>
            <w:pPr>
              <w:pStyle w:val="style0"/>
              <w:spacing w:after="0" w:lineRule="auto" w:line="240"/>
              <w:jc w:val="center"/>
              <w:contextualSpacing/>
              <w:rPr>
                <w:rFonts w:ascii="Tw Cen MT" w:hAnsi="Tw Cen MT"/>
                <w:noProof/>
                <w:sz w:val="18"/>
                <w:szCs w:val="18"/>
                <w:lang w:eastAsia="id-ID"/>
              </w:rPr>
            </w:pPr>
            <w:r>
              <w:rPr>
                <w:rFonts w:ascii="Tw Cen MT" w:hAnsi="Tw Cen MT"/>
                <w:noProof/>
                <w:sz w:val="18"/>
                <w:szCs w:val="18"/>
                <w:lang w:eastAsia="id-ID"/>
              </w:rPr>
              <w:t>25,3</w:t>
            </w:r>
          </w:p>
        </w:tc>
        <w:tc>
          <w:tcPr>
            <w:tcW w:w="425" w:type="dxa"/>
            <w:tcBorders>
              <w:left w:val="nil"/>
              <w:right w:val="nil"/>
            </w:tcBorders>
          </w:tcPr>
          <w:p>
            <w:pPr>
              <w:pStyle w:val="style0"/>
              <w:spacing w:after="0" w:lineRule="auto" w:line="240"/>
              <w:jc w:val="center"/>
              <w:contextualSpacing/>
              <w:rPr>
                <w:rFonts w:ascii="Tw Cen MT" w:hAnsi="Tw Cen MT"/>
                <w:noProof/>
                <w:sz w:val="18"/>
                <w:szCs w:val="18"/>
                <w:lang w:eastAsia="id-ID"/>
              </w:rPr>
            </w:pPr>
            <w:r>
              <w:rPr>
                <w:rFonts w:ascii="Tw Cen MT" w:hAnsi="Tw Cen MT"/>
                <w:noProof/>
                <w:sz w:val="18"/>
                <w:szCs w:val="18"/>
                <w:lang w:eastAsia="id-ID"/>
              </w:rPr>
              <w:t>79</w:t>
            </w:r>
          </w:p>
        </w:tc>
        <w:tc>
          <w:tcPr>
            <w:tcW w:w="567" w:type="dxa"/>
            <w:tcBorders>
              <w:left w:val="nil"/>
              <w:right w:val="nil"/>
            </w:tcBorders>
          </w:tcPr>
          <w:p>
            <w:pPr>
              <w:pStyle w:val="style0"/>
              <w:spacing w:after="0" w:lineRule="auto" w:line="240"/>
              <w:jc w:val="center"/>
              <w:contextualSpacing/>
              <w:rPr>
                <w:rFonts w:ascii="Tw Cen MT" w:hAnsi="Tw Cen MT"/>
                <w:noProof/>
                <w:sz w:val="18"/>
                <w:szCs w:val="18"/>
                <w:lang w:eastAsia="id-ID"/>
              </w:rPr>
            </w:pPr>
            <w:r>
              <w:rPr>
                <w:rFonts w:ascii="Tw Cen MT" w:hAnsi="Tw Cen MT"/>
                <w:noProof/>
                <w:sz w:val="18"/>
                <w:szCs w:val="18"/>
                <w:lang w:eastAsia="id-ID"/>
              </w:rPr>
              <w:t>100</w:t>
            </w:r>
          </w:p>
        </w:tc>
        <w:tc>
          <w:tcPr>
            <w:tcW w:w="709" w:type="dxa"/>
            <w:vMerge w:val="continue"/>
            <w:tcBorders>
              <w:left w:val="nil"/>
              <w:bottom w:val="nil"/>
              <w:right w:val="nil"/>
            </w:tcBorders>
          </w:tcPr>
          <w:p>
            <w:pPr>
              <w:pStyle w:val="style0"/>
              <w:spacing w:after="0" w:lineRule="auto" w:line="240"/>
              <w:jc w:val="center"/>
              <w:contextualSpacing/>
              <w:rPr>
                <w:rFonts w:ascii="Tw Cen MT" w:hAnsi="Tw Cen MT"/>
                <w:noProof/>
                <w:sz w:val="18"/>
                <w:szCs w:val="18"/>
                <w:lang w:eastAsia="id-ID"/>
              </w:rPr>
            </w:pPr>
          </w:p>
        </w:tc>
      </w:tr>
      <w:tr>
        <w:tblPrEx/>
        <w:trPr>
          <w:jc w:val="center"/>
        </w:trPr>
        <w:tc>
          <w:tcPr>
            <w:tcW w:w="1134" w:type="dxa"/>
            <w:tcBorders>
              <w:left w:val="nil"/>
              <w:right w:val="nil"/>
            </w:tcBorders>
          </w:tcPr>
          <w:p>
            <w:pPr>
              <w:pStyle w:val="style0"/>
              <w:spacing w:after="0" w:lineRule="auto" w:line="240"/>
              <w:contextualSpacing/>
              <w:rPr>
                <w:rFonts w:ascii="Tw Cen MT" w:hAnsi="Tw Cen MT"/>
                <w:noProof/>
                <w:sz w:val="18"/>
                <w:szCs w:val="18"/>
                <w:lang w:eastAsia="id-ID"/>
              </w:rPr>
            </w:pPr>
            <w:r>
              <w:rPr>
                <w:rFonts w:ascii="Tw Cen MT" w:hAnsi="Tw Cen MT"/>
                <w:noProof/>
                <w:sz w:val="18"/>
                <w:szCs w:val="18"/>
                <w:lang w:eastAsia="id-ID"/>
              </w:rPr>
              <w:t>Jumlah</w:t>
            </w:r>
          </w:p>
        </w:tc>
        <w:tc>
          <w:tcPr>
            <w:tcW w:w="567" w:type="dxa"/>
            <w:tcBorders>
              <w:left w:val="nil"/>
              <w:right w:val="nil"/>
            </w:tcBorders>
          </w:tcPr>
          <w:p>
            <w:pPr>
              <w:pStyle w:val="style0"/>
              <w:spacing w:after="0" w:lineRule="auto" w:line="240"/>
              <w:jc w:val="center"/>
              <w:contextualSpacing/>
              <w:rPr>
                <w:rFonts w:ascii="Tw Cen MT" w:hAnsi="Tw Cen MT"/>
                <w:noProof/>
                <w:sz w:val="18"/>
                <w:szCs w:val="18"/>
                <w:lang w:eastAsia="id-ID"/>
              </w:rPr>
            </w:pPr>
            <w:r>
              <w:rPr>
                <w:rFonts w:ascii="Tw Cen MT" w:hAnsi="Tw Cen MT"/>
                <w:noProof/>
                <w:sz w:val="18"/>
                <w:szCs w:val="18"/>
                <w:lang w:eastAsia="id-ID"/>
              </w:rPr>
              <w:t>68</w:t>
            </w:r>
          </w:p>
        </w:tc>
        <w:tc>
          <w:tcPr>
            <w:tcW w:w="567" w:type="dxa"/>
            <w:tcBorders>
              <w:left w:val="nil"/>
              <w:right w:val="nil"/>
            </w:tcBorders>
          </w:tcPr>
          <w:p>
            <w:pPr>
              <w:pStyle w:val="style0"/>
              <w:spacing w:after="0" w:lineRule="auto" w:line="240"/>
              <w:jc w:val="center"/>
              <w:contextualSpacing/>
              <w:rPr>
                <w:rFonts w:ascii="Tw Cen MT" w:hAnsi="Tw Cen MT"/>
                <w:noProof/>
                <w:sz w:val="18"/>
                <w:szCs w:val="18"/>
                <w:lang w:eastAsia="id-ID"/>
              </w:rPr>
            </w:pPr>
          </w:p>
        </w:tc>
        <w:tc>
          <w:tcPr>
            <w:tcW w:w="425" w:type="dxa"/>
            <w:tcBorders>
              <w:left w:val="nil"/>
              <w:right w:val="nil"/>
            </w:tcBorders>
          </w:tcPr>
          <w:p>
            <w:pPr>
              <w:pStyle w:val="style0"/>
              <w:spacing w:after="0" w:lineRule="auto" w:line="240"/>
              <w:jc w:val="center"/>
              <w:contextualSpacing/>
              <w:rPr>
                <w:rFonts w:ascii="Tw Cen MT" w:hAnsi="Tw Cen MT"/>
                <w:noProof/>
                <w:sz w:val="18"/>
                <w:szCs w:val="18"/>
                <w:lang w:eastAsia="id-ID"/>
              </w:rPr>
            </w:pPr>
            <w:r>
              <w:rPr>
                <w:rFonts w:ascii="Tw Cen MT" w:hAnsi="Tw Cen MT"/>
                <w:noProof/>
                <w:sz w:val="18"/>
                <w:szCs w:val="18"/>
                <w:lang w:eastAsia="id-ID"/>
              </w:rPr>
              <w:t>11</w:t>
            </w:r>
          </w:p>
        </w:tc>
        <w:tc>
          <w:tcPr>
            <w:tcW w:w="709" w:type="dxa"/>
            <w:tcBorders>
              <w:left w:val="nil"/>
              <w:right w:val="nil"/>
            </w:tcBorders>
          </w:tcPr>
          <w:p>
            <w:pPr>
              <w:pStyle w:val="style0"/>
              <w:spacing w:after="0" w:lineRule="auto" w:line="240"/>
              <w:jc w:val="center"/>
              <w:contextualSpacing/>
              <w:rPr>
                <w:rFonts w:ascii="Tw Cen MT" w:hAnsi="Tw Cen MT"/>
                <w:noProof/>
                <w:sz w:val="18"/>
                <w:szCs w:val="18"/>
                <w:lang w:eastAsia="id-ID"/>
              </w:rPr>
            </w:pPr>
          </w:p>
        </w:tc>
        <w:tc>
          <w:tcPr>
            <w:tcW w:w="425" w:type="dxa"/>
            <w:tcBorders>
              <w:left w:val="nil"/>
              <w:right w:val="nil"/>
            </w:tcBorders>
          </w:tcPr>
          <w:p>
            <w:pPr>
              <w:pStyle w:val="style0"/>
              <w:spacing w:after="0" w:lineRule="auto" w:line="240"/>
              <w:jc w:val="center"/>
              <w:contextualSpacing/>
              <w:rPr>
                <w:rFonts w:ascii="Tw Cen MT" w:hAnsi="Tw Cen MT"/>
                <w:noProof/>
                <w:sz w:val="18"/>
                <w:szCs w:val="18"/>
                <w:lang w:eastAsia="id-ID"/>
              </w:rPr>
            </w:pPr>
            <w:r>
              <w:rPr>
                <w:rFonts w:ascii="Tw Cen MT" w:hAnsi="Tw Cen MT"/>
                <w:noProof/>
                <w:sz w:val="18"/>
                <w:szCs w:val="18"/>
                <w:lang w:eastAsia="id-ID"/>
              </w:rPr>
              <w:t>89</w:t>
            </w:r>
          </w:p>
        </w:tc>
        <w:tc>
          <w:tcPr>
            <w:tcW w:w="567" w:type="dxa"/>
            <w:tcBorders>
              <w:left w:val="nil"/>
              <w:right w:val="nil"/>
            </w:tcBorders>
          </w:tcPr>
          <w:p>
            <w:pPr>
              <w:pStyle w:val="style0"/>
              <w:spacing w:after="0" w:lineRule="auto" w:line="240"/>
              <w:jc w:val="center"/>
              <w:contextualSpacing/>
              <w:rPr>
                <w:rFonts w:ascii="Tw Cen MT" w:hAnsi="Tw Cen MT"/>
                <w:noProof/>
                <w:sz w:val="18"/>
                <w:szCs w:val="18"/>
                <w:lang w:eastAsia="id-ID"/>
              </w:rPr>
            </w:pPr>
            <w:r>
              <w:rPr>
                <w:rFonts w:ascii="Tw Cen MT" w:hAnsi="Tw Cen MT"/>
                <w:noProof/>
                <w:sz w:val="18"/>
                <w:szCs w:val="18"/>
                <w:lang w:eastAsia="id-ID"/>
              </w:rPr>
              <w:t>100</w:t>
            </w:r>
          </w:p>
        </w:tc>
        <w:tc>
          <w:tcPr>
            <w:tcW w:w="709" w:type="dxa"/>
            <w:tcBorders>
              <w:top w:val="nil"/>
              <w:left w:val="nil"/>
              <w:right w:val="nil"/>
            </w:tcBorders>
          </w:tcPr>
          <w:p>
            <w:pPr>
              <w:pStyle w:val="style0"/>
              <w:spacing w:after="0" w:lineRule="auto" w:line="240"/>
              <w:jc w:val="center"/>
              <w:contextualSpacing/>
              <w:rPr>
                <w:rFonts w:ascii="Tw Cen MT" w:hAnsi="Tw Cen MT"/>
                <w:noProof/>
                <w:sz w:val="18"/>
                <w:szCs w:val="18"/>
                <w:lang w:eastAsia="id-ID"/>
              </w:rPr>
            </w:pPr>
          </w:p>
        </w:tc>
      </w:tr>
    </w:tbl>
    <w:p>
      <w:pPr>
        <w:pStyle w:val="style0"/>
        <w:spacing w:after="0" w:lineRule="auto" w:line="240"/>
        <w:jc w:val="center"/>
        <w:rPr>
          <w:rFonts w:ascii="Tw Cen MT" w:hAnsi="Tw Cen MT"/>
          <w:noProof/>
          <w:sz w:val="20"/>
          <w:szCs w:val="20"/>
          <w:lang w:eastAsia="id-ID"/>
        </w:rPr>
      </w:pPr>
    </w:p>
    <w:p>
      <w:pPr>
        <w:pStyle w:val="style0"/>
        <w:spacing w:lineRule="auto" w:line="240"/>
        <w:jc w:val="both"/>
        <w:contextualSpacing/>
        <w:rPr>
          <w:rFonts w:ascii="Tw Cen MT" w:cs="Times New Roman" w:hAnsi="Tw Cen MT"/>
          <w:sz w:val="24"/>
          <w:szCs w:val="24"/>
        </w:rPr>
      </w:pPr>
      <w:r>
        <w:rPr>
          <w:rFonts w:ascii="Tw Cen MT" w:cs="Times New Roman" w:hAnsi="Tw Cen MT"/>
          <w:sz w:val="24"/>
          <w:szCs w:val="24"/>
        </w:rPr>
        <w:t xml:space="preserve">Hasil uji </w:t>
      </w:r>
      <w:r>
        <w:rPr>
          <w:rFonts w:ascii="Tw Cen MT" w:cs="Times New Roman" w:hAnsi="Tw Cen MT"/>
          <w:sz w:val="24"/>
          <w:szCs w:val="24"/>
        </w:rPr>
        <w:t>statistik</w:t>
      </w:r>
      <w:r>
        <w:rPr>
          <w:rFonts w:ascii="Tw Cen MT" w:cs="Times New Roman" w:hAnsi="Tw Cen MT"/>
          <w:sz w:val="24"/>
          <w:szCs w:val="24"/>
        </w:rPr>
        <w:t xml:space="preserve"> </w:t>
      </w:r>
      <w:r>
        <w:rPr>
          <w:rFonts w:ascii="Tw Cen MT" w:cs="Times New Roman" w:hAnsi="Tw Cen MT"/>
          <w:sz w:val="24"/>
          <w:szCs w:val="24"/>
        </w:rPr>
        <w:t>menunjukkan</w:t>
      </w:r>
      <w:r>
        <w:rPr>
          <w:rFonts w:ascii="Tw Cen MT" w:cs="Times New Roman" w:hAnsi="Tw Cen MT"/>
          <w:sz w:val="24"/>
          <w:szCs w:val="24"/>
        </w:rPr>
        <w:t xml:space="preserve"> </w:t>
      </w:r>
      <w:r>
        <w:rPr>
          <w:rFonts w:ascii="Tw Cen MT" w:cs="Times New Roman" w:hAnsi="Tw Cen MT"/>
          <w:sz w:val="24"/>
          <w:szCs w:val="24"/>
        </w:rPr>
        <w:t>nilai</w:t>
      </w:r>
      <w:r>
        <w:rPr>
          <w:rFonts w:ascii="Tw Cen MT" w:cs="Times New Roman" w:hAnsi="Tw Cen MT"/>
          <w:sz w:val="24"/>
          <w:szCs w:val="24"/>
        </w:rPr>
        <w:t xml:space="preserve"> p value </w:t>
      </w:r>
      <w:r>
        <w:rPr>
          <w:rFonts w:ascii="Tw Cen MT" w:cs="Times New Roman" w:hAnsi="Tw Cen MT"/>
          <w:sz w:val="24"/>
          <w:szCs w:val="24"/>
        </w:rPr>
        <w:t>sebesar</w:t>
      </w:r>
      <w:r>
        <w:rPr>
          <w:rFonts w:ascii="Tw Cen MT" w:cs="Times New Roman" w:hAnsi="Tw Cen MT"/>
          <w:sz w:val="24"/>
          <w:szCs w:val="24"/>
        </w:rPr>
        <w:t xml:space="preserve"> 0,282. </w:t>
      </w:r>
      <w:r>
        <w:rPr>
          <w:rFonts w:ascii="Tw Cen MT" w:cs="Times New Roman" w:hAnsi="Tw Cen MT"/>
          <w:sz w:val="24"/>
          <w:szCs w:val="24"/>
        </w:rPr>
        <w:t>Dengan</w:t>
      </w:r>
      <w:r>
        <w:rPr>
          <w:rFonts w:ascii="Tw Cen MT" w:cs="Times New Roman" w:hAnsi="Tw Cen MT"/>
          <w:sz w:val="24"/>
          <w:szCs w:val="24"/>
        </w:rPr>
        <w:t xml:space="preserve"> </w:t>
      </w:r>
      <w:r>
        <w:rPr>
          <w:rFonts w:ascii="Tw Cen MT" w:cs="Times New Roman" w:hAnsi="Tw Cen MT"/>
          <w:sz w:val="24"/>
          <w:szCs w:val="24"/>
        </w:rPr>
        <w:t>tingkat</w:t>
      </w:r>
      <w:r>
        <w:rPr>
          <w:rFonts w:ascii="Tw Cen MT" w:cs="Times New Roman" w:hAnsi="Tw Cen MT"/>
          <w:sz w:val="24"/>
          <w:szCs w:val="24"/>
        </w:rPr>
        <w:t xml:space="preserve"> </w:t>
      </w:r>
      <w:r>
        <w:rPr>
          <w:rFonts w:ascii="Tw Cen MT" w:cs="Times New Roman" w:hAnsi="Tw Cen MT"/>
          <w:sz w:val="24"/>
          <w:szCs w:val="24"/>
        </w:rPr>
        <w:t>signifikansi</w:t>
      </w:r>
      <w:r>
        <w:rPr>
          <w:rFonts w:ascii="Tw Cen MT" w:cs="Times New Roman" w:hAnsi="Tw Cen MT"/>
          <w:sz w:val="24"/>
          <w:szCs w:val="24"/>
        </w:rPr>
        <w:t xml:space="preserve"> </w:t>
      </w:r>
      <w:r>
        <w:rPr>
          <w:sz w:val="24"/>
          <w:szCs w:val="24"/>
        </w:rPr>
        <w:t>α</w:t>
      </w:r>
      <w:r>
        <w:rPr>
          <w:rFonts w:ascii="Tw Cen MT" w:cs="Times New Roman" w:hAnsi="Tw Cen MT"/>
          <w:sz w:val="24"/>
          <w:szCs w:val="24"/>
        </w:rPr>
        <w:t xml:space="preserve"> = 0,05 (</w:t>
      </w:r>
      <w:r>
        <w:rPr>
          <w:rFonts w:ascii="Tw Cen MT" w:cs="Times New Roman" w:hAnsi="Tw Cen MT"/>
          <w:sz w:val="24"/>
          <w:szCs w:val="24"/>
        </w:rPr>
        <w:t>tingkat</w:t>
      </w:r>
      <w:r>
        <w:rPr>
          <w:rFonts w:ascii="Tw Cen MT" w:cs="Times New Roman" w:hAnsi="Tw Cen MT"/>
          <w:sz w:val="24"/>
          <w:szCs w:val="24"/>
        </w:rPr>
        <w:t xml:space="preserve"> </w:t>
      </w:r>
      <w:r>
        <w:rPr>
          <w:rFonts w:ascii="Tw Cen MT" w:cs="Times New Roman" w:hAnsi="Tw Cen MT"/>
          <w:sz w:val="24"/>
          <w:szCs w:val="24"/>
        </w:rPr>
        <w:t>signifikansi</w:t>
      </w:r>
      <w:r>
        <w:rPr>
          <w:rFonts w:ascii="Tw Cen MT" w:cs="Times New Roman" w:hAnsi="Tw Cen MT"/>
          <w:sz w:val="24"/>
          <w:szCs w:val="24"/>
        </w:rPr>
        <w:t xml:space="preserve"> </w:t>
      </w:r>
      <w:r>
        <w:rPr>
          <w:rFonts w:ascii="Tw Cen MT" w:cs="Times New Roman" w:hAnsi="Tw Cen MT"/>
          <w:sz w:val="24"/>
          <w:szCs w:val="24"/>
        </w:rPr>
        <w:t>umum</w:t>
      </w:r>
      <w:r>
        <w:rPr>
          <w:rFonts w:ascii="Tw Cen MT" w:cs="Times New Roman" w:hAnsi="Tw Cen MT"/>
          <w:sz w:val="24"/>
          <w:szCs w:val="24"/>
        </w:rPr>
        <w:t xml:space="preserve"> yang </w:t>
      </w:r>
      <w:r>
        <w:rPr>
          <w:rFonts w:ascii="Tw Cen MT" w:cs="Times New Roman" w:hAnsi="Tw Cen MT"/>
          <w:sz w:val="24"/>
          <w:szCs w:val="24"/>
        </w:rPr>
        <w:t>digunakan</w:t>
      </w:r>
      <w:r>
        <w:rPr>
          <w:rFonts w:ascii="Tw Cen MT" w:cs="Times New Roman" w:hAnsi="Tw Cen MT"/>
          <w:sz w:val="24"/>
          <w:szCs w:val="24"/>
        </w:rPr>
        <w:t xml:space="preserve">), </w:t>
      </w:r>
      <w:r>
        <w:rPr>
          <w:rFonts w:ascii="Tw Cen MT" w:cs="Times New Roman" w:hAnsi="Tw Cen MT"/>
          <w:sz w:val="24"/>
          <w:szCs w:val="24"/>
        </w:rPr>
        <w:t>karena</w:t>
      </w:r>
      <w:r>
        <w:rPr>
          <w:rFonts w:ascii="Tw Cen MT" w:cs="Times New Roman" w:hAnsi="Tw Cen MT"/>
          <w:sz w:val="24"/>
          <w:szCs w:val="24"/>
        </w:rPr>
        <w:t xml:space="preserve"> </w:t>
      </w:r>
      <w:r>
        <w:rPr>
          <w:rFonts w:ascii="Tw Cen MT" w:cs="Times New Roman" w:hAnsi="Tw Cen MT"/>
          <w:sz w:val="24"/>
          <w:szCs w:val="24"/>
        </w:rPr>
        <w:t>nilai</w:t>
      </w:r>
      <w:r>
        <w:rPr>
          <w:rFonts w:ascii="Tw Cen MT" w:cs="Times New Roman" w:hAnsi="Tw Cen MT"/>
          <w:sz w:val="24"/>
          <w:szCs w:val="24"/>
        </w:rPr>
        <w:t xml:space="preserve"> p (0,282) </w:t>
      </w:r>
      <w:r>
        <w:rPr>
          <w:rFonts w:ascii="Tw Cen MT" w:cs="Times New Roman" w:hAnsi="Tw Cen MT"/>
          <w:sz w:val="24"/>
          <w:szCs w:val="24"/>
        </w:rPr>
        <w:t>lebih</w:t>
      </w:r>
      <w:r>
        <w:rPr>
          <w:rFonts w:ascii="Tw Cen MT" w:cs="Times New Roman" w:hAnsi="Tw Cen MT"/>
          <w:sz w:val="24"/>
          <w:szCs w:val="24"/>
        </w:rPr>
        <w:t xml:space="preserve"> </w:t>
      </w:r>
      <w:r>
        <w:rPr>
          <w:rFonts w:ascii="Tw Cen MT" w:cs="Times New Roman" w:hAnsi="Tw Cen MT"/>
          <w:sz w:val="24"/>
          <w:szCs w:val="24"/>
        </w:rPr>
        <w:t>besar</w:t>
      </w:r>
      <w:r>
        <w:rPr>
          <w:rFonts w:ascii="Tw Cen MT" w:cs="Times New Roman" w:hAnsi="Tw Cen MT"/>
          <w:sz w:val="24"/>
          <w:szCs w:val="24"/>
        </w:rPr>
        <w:t xml:space="preserve"> </w:t>
      </w:r>
      <w:r>
        <w:rPr>
          <w:rFonts w:ascii="Tw Cen MT" w:cs="Times New Roman" w:hAnsi="Tw Cen MT"/>
          <w:sz w:val="24"/>
          <w:szCs w:val="24"/>
        </w:rPr>
        <w:t>dari</w:t>
      </w:r>
      <w:r>
        <w:rPr>
          <w:rFonts w:ascii="Tw Cen MT" w:cs="Times New Roman" w:hAnsi="Tw Cen MT"/>
          <w:sz w:val="24"/>
          <w:szCs w:val="24"/>
        </w:rPr>
        <w:t xml:space="preserve"> </w:t>
      </w:r>
      <w:r>
        <w:rPr>
          <w:sz w:val="24"/>
          <w:szCs w:val="24"/>
        </w:rPr>
        <w:t>α</w:t>
      </w:r>
      <w:r>
        <w:rPr>
          <w:rFonts w:ascii="Tw Cen MT" w:cs="Times New Roman" w:hAnsi="Tw Cen MT"/>
          <w:sz w:val="24"/>
          <w:szCs w:val="24"/>
        </w:rPr>
        <w:t xml:space="preserve">, </w:t>
      </w:r>
      <w:r>
        <w:rPr>
          <w:rFonts w:ascii="Tw Cen MT" w:cs="Times New Roman" w:hAnsi="Tw Cen MT"/>
          <w:sz w:val="24"/>
          <w:szCs w:val="24"/>
        </w:rPr>
        <w:t>kita</w:t>
      </w:r>
      <w:r>
        <w:rPr>
          <w:rFonts w:ascii="Tw Cen MT" w:cs="Times New Roman" w:hAnsi="Tw Cen MT"/>
          <w:sz w:val="24"/>
          <w:szCs w:val="24"/>
        </w:rPr>
        <w:t xml:space="preserve"> </w:t>
      </w:r>
      <w:r>
        <w:rPr>
          <w:rFonts w:ascii="Tw Cen MT" w:cs="Times New Roman" w:hAnsi="Tw Cen MT"/>
          <w:sz w:val="24"/>
          <w:szCs w:val="24"/>
        </w:rPr>
        <w:t>dapat</w:t>
      </w:r>
      <w:r>
        <w:rPr>
          <w:rFonts w:ascii="Tw Cen MT" w:cs="Times New Roman" w:hAnsi="Tw Cen MT"/>
          <w:sz w:val="24"/>
          <w:szCs w:val="24"/>
        </w:rPr>
        <w:t xml:space="preserve"> </w:t>
      </w:r>
      <w:r>
        <w:rPr>
          <w:rFonts w:ascii="Tw Cen MT" w:cs="Times New Roman" w:hAnsi="Tw Cen MT"/>
          <w:sz w:val="24"/>
          <w:szCs w:val="24"/>
        </w:rPr>
        <w:t>menyimpulkan</w:t>
      </w:r>
      <w:r>
        <w:rPr>
          <w:rFonts w:ascii="Tw Cen MT" w:cs="Times New Roman" w:hAnsi="Tw Cen MT"/>
          <w:sz w:val="24"/>
          <w:szCs w:val="24"/>
        </w:rPr>
        <w:t xml:space="preserve"> </w:t>
      </w:r>
      <w:r>
        <w:rPr>
          <w:rFonts w:ascii="Tw Cen MT" w:cs="Times New Roman" w:hAnsi="Tw Cen MT"/>
          <w:sz w:val="24"/>
          <w:szCs w:val="24"/>
        </w:rPr>
        <w:t>bahwa</w:t>
      </w:r>
      <w:r>
        <w:rPr>
          <w:rFonts w:ascii="Tw Cen MT" w:cs="Times New Roman" w:hAnsi="Tw Cen MT"/>
          <w:sz w:val="24"/>
          <w:szCs w:val="24"/>
        </w:rPr>
        <w:t xml:space="preserve"> </w:t>
      </w:r>
      <w:r>
        <w:rPr>
          <w:rFonts w:ascii="Tw Cen MT" w:cs="Times New Roman" w:hAnsi="Tw Cen MT"/>
          <w:sz w:val="24"/>
          <w:szCs w:val="24"/>
        </w:rPr>
        <w:t>tidak</w:t>
      </w:r>
      <w:r>
        <w:rPr>
          <w:rFonts w:ascii="Tw Cen MT" w:cs="Times New Roman" w:hAnsi="Tw Cen MT"/>
          <w:sz w:val="24"/>
          <w:szCs w:val="24"/>
        </w:rPr>
        <w:t xml:space="preserve"> </w:t>
      </w:r>
      <w:r>
        <w:rPr>
          <w:rFonts w:ascii="Tw Cen MT" w:cs="Times New Roman" w:hAnsi="Tw Cen MT"/>
          <w:sz w:val="24"/>
          <w:szCs w:val="24"/>
        </w:rPr>
        <w:t>terdapat</w:t>
      </w:r>
      <w:r>
        <w:rPr>
          <w:rFonts w:ascii="Tw Cen MT" w:cs="Times New Roman" w:hAnsi="Tw Cen MT"/>
          <w:sz w:val="24"/>
          <w:szCs w:val="24"/>
        </w:rPr>
        <w:t xml:space="preserve"> </w:t>
      </w:r>
      <w:r>
        <w:rPr>
          <w:rFonts w:ascii="Tw Cen MT" w:cs="Times New Roman" w:hAnsi="Tw Cen MT"/>
          <w:sz w:val="24"/>
          <w:szCs w:val="24"/>
        </w:rPr>
        <w:t>hubungan</w:t>
      </w:r>
      <w:r>
        <w:rPr>
          <w:rFonts w:ascii="Tw Cen MT" w:cs="Times New Roman" w:hAnsi="Tw Cen MT"/>
          <w:sz w:val="24"/>
          <w:szCs w:val="24"/>
        </w:rPr>
        <w:t xml:space="preserve"> yang </w:t>
      </w:r>
      <w:r>
        <w:rPr>
          <w:rFonts w:ascii="Tw Cen MT" w:cs="Times New Roman" w:hAnsi="Tw Cen MT"/>
          <w:sz w:val="24"/>
          <w:szCs w:val="24"/>
        </w:rPr>
        <w:t>signifikan</w:t>
      </w:r>
      <w:r>
        <w:rPr>
          <w:rFonts w:ascii="Tw Cen MT" w:cs="Times New Roman" w:hAnsi="Tw Cen MT"/>
          <w:sz w:val="24"/>
          <w:szCs w:val="24"/>
        </w:rPr>
        <w:t xml:space="preserve"> </w:t>
      </w:r>
      <w:r>
        <w:rPr>
          <w:rFonts w:ascii="Tw Cen MT" w:cs="Times New Roman" w:hAnsi="Tw Cen MT"/>
          <w:sz w:val="24"/>
          <w:szCs w:val="24"/>
        </w:rPr>
        <w:t>secara</w:t>
      </w:r>
      <w:r>
        <w:rPr>
          <w:rFonts w:ascii="Tw Cen MT" w:cs="Times New Roman" w:hAnsi="Tw Cen MT"/>
          <w:sz w:val="24"/>
          <w:szCs w:val="24"/>
        </w:rPr>
        <w:t xml:space="preserve"> </w:t>
      </w:r>
      <w:r>
        <w:rPr>
          <w:rFonts w:ascii="Tw Cen MT" w:cs="Times New Roman" w:hAnsi="Tw Cen MT"/>
          <w:sz w:val="24"/>
          <w:szCs w:val="24"/>
        </w:rPr>
        <w:t>statistik</w:t>
      </w:r>
      <w:r>
        <w:rPr>
          <w:rFonts w:ascii="Tw Cen MT" w:cs="Times New Roman" w:hAnsi="Tw Cen MT"/>
          <w:sz w:val="24"/>
          <w:szCs w:val="24"/>
        </w:rPr>
        <w:t>.</w:t>
      </w:r>
    </w:p>
    <w:p>
      <w:pPr>
        <w:pStyle w:val="style0"/>
        <w:spacing w:lineRule="auto" w:line="240"/>
        <w:jc w:val="both"/>
        <w:contextualSpacing/>
        <w:rPr>
          <w:rFonts w:ascii="Tw Cen MT" w:cs="Times New Roman" w:hAnsi="Tw Cen MT"/>
          <w:sz w:val="24"/>
          <w:szCs w:val="24"/>
        </w:rPr>
      </w:pPr>
      <w:r>
        <w:rPr>
          <w:rFonts w:ascii="Tw Cen MT" w:cs="Times New Roman" w:hAnsi="Tw Cen MT"/>
          <w:sz w:val="24"/>
          <w:szCs w:val="24"/>
        </w:rPr>
        <w:t>Berdasarkan</w:t>
      </w:r>
      <w:r>
        <w:rPr>
          <w:rFonts w:ascii="Tw Cen MT" w:cs="Times New Roman" w:hAnsi="Tw Cen MT"/>
          <w:sz w:val="24"/>
          <w:szCs w:val="24"/>
        </w:rPr>
        <w:t xml:space="preserve"> </w:t>
      </w:r>
      <w:r>
        <w:rPr>
          <w:rFonts w:ascii="Tw Cen MT" w:cs="Times New Roman" w:hAnsi="Tw Cen MT"/>
          <w:sz w:val="24"/>
          <w:szCs w:val="24"/>
        </w:rPr>
        <w:t>hasil</w:t>
      </w:r>
      <w:r>
        <w:rPr>
          <w:rFonts w:ascii="Tw Cen MT" w:cs="Times New Roman" w:hAnsi="Tw Cen MT"/>
          <w:sz w:val="24"/>
          <w:szCs w:val="24"/>
        </w:rPr>
        <w:t xml:space="preserve"> uji </w:t>
      </w:r>
      <w:r>
        <w:rPr>
          <w:rFonts w:ascii="Tw Cen MT" w:cs="Times New Roman" w:hAnsi="Tw Cen MT"/>
          <w:sz w:val="24"/>
          <w:szCs w:val="24"/>
        </w:rPr>
        <w:t>statistik</w:t>
      </w:r>
      <w:r>
        <w:rPr>
          <w:rFonts w:ascii="Tw Cen MT" w:cs="Times New Roman" w:hAnsi="Tw Cen MT"/>
          <w:sz w:val="24"/>
          <w:szCs w:val="24"/>
        </w:rPr>
        <w:t xml:space="preserve"> yang </w:t>
      </w:r>
      <w:r>
        <w:rPr>
          <w:rFonts w:ascii="Tw Cen MT" w:cs="Times New Roman" w:hAnsi="Tw Cen MT"/>
          <w:sz w:val="24"/>
          <w:szCs w:val="24"/>
        </w:rPr>
        <w:t>dilakukan</w:t>
      </w:r>
      <w:r>
        <w:rPr>
          <w:rFonts w:ascii="Tw Cen MT" w:cs="Times New Roman" w:hAnsi="Tw Cen MT"/>
          <w:sz w:val="24"/>
          <w:szCs w:val="24"/>
        </w:rPr>
        <w:t xml:space="preserve"> </w:t>
      </w:r>
      <w:r>
        <w:rPr>
          <w:rFonts w:ascii="Tw Cen MT" w:cs="Times New Roman" w:hAnsi="Tw Cen MT"/>
          <w:sz w:val="24"/>
          <w:szCs w:val="24"/>
        </w:rPr>
        <w:t>dapat</w:t>
      </w:r>
      <w:r>
        <w:rPr>
          <w:rFonts w:ascii="Tw Cen MT" w:cs="Times New Roman" w:hAnsi="Tw Cen MT"/>
          <w:sz w:val="24"/>
          <w:szCs w:val="24"/>
        </w:rPr>
        <w:t xml:space="preserve"> </w:t>
      </w:r>
      <w:r>
        <w:rPr>
          <w:rFonts w:ascii="Tw Cen MT" w:cs="Times New Roman" w:hAnsi="Tw Cen MT"/>
          <w:sz w:val="24"/>
          <w:szCs w:val="24"/>
        </w:rPr>
        <w:t>disimpulkan</w:t>
      </w:r>
      <w:r>
        <w:rPr>
          <w:rFonts w:ascii="Tw Cen MT" w:cs="Times New Roman" w:hAnsi="Tw Cen MT"/>
          <w:sz w:val="24"/>
          <w:szCs w:val="24"/>
        </w:rPr>
        <w:t xml:space="preserve"> </w:t>
      </w:r>
      <w:r>
        <w:rPr>
          <w:rFonts w:ascii="Tw Cen MT" w:cs="Times New Roman" w:hAnsi="Tw Cen MT"/>
          <w:sz w:val="24"/>
          <w:szCs w:val="24"/>
        </w:rPr>
        <w:t>bahwa</w:t>
      </w:r>
      <w:r>
        <w:rPr>
          <w:rFonts w:ascii="Tw Cen MT" w:cs="Times New Roman" w:hAnsi="Tw Cen MT"/>
          <w:sz w:val="24"/>
          <w:szCs w:val="24"/>
        </w:rPr>
        <w:t xml:space="preserve"> </w:t>
      </w:r>
      <w:r>
        <w:rPr>
          <w:rFonts w:ascii="Tw Cen MT" w:cs="Times New Roman" w:hAnsi="Tw Cen MT"/>
          <w:sz w:val="24"/>
          <w:szCs w:val="24"/>
        </w:rPr>
        <w:t>tidak</w:t>
      </w:r>
      <w:r>
        <w:rPr>
          <w:rFonts w:ascii="Tw Cen MT" w:cs="Times New Roman" w:hAnsi="Tw Cen MT"/>
          <w:sz w:val="24"/>
          <w:szCs w:val="24"/>
        </w:rPr>
        <w:t xml:space="preserve"> </w:t>
      </w:r>
      <w:r>
        <w:rPr>
          <w:rFonts w:ascii="Tw Cen MT" w:cs="Times New Roman" w:hAnsi="Tw Cen MT"/>
          <w:sz w:val="24"/>
          <w:szCs w:val="24"/>
        </w:rPr>
        <w:t>terdapat</w:t>
      </w:r>
      <w:r>
        <w:rPr>
          <w:rFonts w:ascii="Tw Cen MT" w:cs="Times New Roman" w:hAnsi="Tw Cen MT"/>
          <w:sz w:val="24"/>
          <w:szCs w:val="24"/>
        </w:rPr>
        <w:t xml:space="preserve"> </w:t>
      </w:r>
      <w:r>
        <w:rPr>
          <w:rFonts w:ascii="Tw Cen MT" w:cs="Times New Roman" w:hAnsi="Tw Cen MT"/>
          <w:sz w:val="24"/>
          <w:szCs w:val="24"/>
        </w:rPr>
        <w:t>hubungan</w:t>
      </w:r>
      <w:r>
        <w:rPr>
          <w:rFonts w:ascii="Tw Cen MT" w:cs="Times New Roman" w:hAnsi="Tw Cen MT"/>
          <w:sz w:val="24"/>
          <w:szCs w:val="24"/>
        </w:rPr>
        <w:t xml:space="preserve"> yang </w:t>
      </w:r>
      <w:r>
        <w:rPr>
          <w:rFonts w:ascii="Tw Cen MT" w:cs="Times New Roman" w:hAnsi="Tw Cen MT"/>
          <w:sz w:val="24"/>
          <w:szCs w:val="24"/>
        </w:rPr>
        <w:t>signifikan</w:t>
      </w:r>
      <w:r>
        <w:rPr>
          <w:rFonts w:ascii="Tw Cen MT" w:cs="Times New Roman" w:hAnsi="Tw Cen MT"/>
          <w:sz w:val="24"/>
          <w:szCs w:val="24"/>
        </w:rPr>
        <w:t xml:space="preserve"> </w:t>
      </w:r>
      <w:r>
        <w:rPr>
          <w:rFonts w:ascii="Tw Cen MT" w:cs="Times New Roman" w:hAnsi="Tw Cen MT"/>
          <w:sz w:val="24"/>
          <w:szCs w:val="24"/>
        </w:rPr>
        <w:t>antara</w:t>
      </w:r>
      <w:r>
        <w:rPr>
          <w:rFonts w:ascii="Tw Cen MT" w:cs="Times New Roman" w:hAnsi="Tw Cen MT"/>
          <w:sz w:val="24"/>
          <w:szCs w:val="24"/>
        </w:rPr>
        <w:t xml:space="preserve"> </w:t>
      </w:r>
      <w:r>
        <w:rPr>
          <w:rFonts w:ascii="Tw Cen MT" w:cs="Times New Roman" w:hAnsi="Tw Cen MT"/>
          <w:sz w:val="24"/>
          <w:szCs w:val="24"/>
        </w:rPr>
        <w:t>koping</w:t>
      </w:r>
      <w:r>
        <w:rPr>
          <w:rFonts w:ascii="Tw Cen MT" w:cs="Times New Roman" w:hAnsi="Tw Cen MT"/>
          <w:sz w:val="24"/>
          <w:szCs w:val="24"/>
        </w:rPr>
        <w:t xml:space="preserve"> </w:t>
      </w:r>
      <w:r>
        <w:rPr>
          <w:rFonts w:ascii="Tw Cen MT" w:cs="Times New Roman" w:hAnsi="Tw Cen MT"/>
          <w:sz w:val="24"/>
          <w:szCs w:val="24"/>
        </w:rPr>
        <w:t>keluraga</w:t>
      </w:r>
      <w:r>
        <w:rPr>
          <w:rFonts w:ascii="Tw Cen MT" w:cs="Times New Roman" w:hAnsi="Tw Cen MT"/>
          <w:sz w:val="24"/>
          <w:szCs w:val="24"/>
        </w:rPr>
        <w:t xml:space="preserve"> </w:t>
      </w:r>
      <w:r>
        <w:rPr>
          <w:rFonts w:ascii="Tw Cen MT" w:cs="Times New Roman" w:hAnsi="Tw Cen MT"/>
          <w:sz w:val="24"/>
          <w:szCs w:val="24"/>
        </w:rPr>
        <w:t>dengan</w:t>
      </w:r>
      <w:r>
        <w:rPr>
          <w:rFonts w:ascii="Tw Cen MT" w:cs="Times New Roman" w:hAnsi="Tw Cen MT"/>
          <w:sz w:val="24"/>
          <w:szCs w:val="24"/>
        </w:rPr>
        <w:t xml:space="preserve"> </w:t>
      </w:r>
      <w:r>
        <w:rPr>
          <w:rFonts w:ascii="Tw Cen MT" w:cs="Times New Roman" w:hAnsi="Tw Cen MT"/>
          <w:sz w:val="24"/>
          <w:szCs w:val="24"/>
        </w:rPr>
        <w:t>kejadian</w:t>
      </w:r>
      <w:r>
        <w:rPr>
          <w:rFonts w:ascii="Tw Cen MT" w:cs="Times New Roman" w:hAnsi="Tw Cen MT"/>
          <w:sz w:val="24"/>
          <w:szCs w:val="24"/>
        </w:rPr>
        <w:t xml:space="preserve"> stunting pada </w:t>
      </w:r>
      <w:r>
        <w:rPr>
          <w:rFonts w:ascii="Tw Cen MT" w:cs="Times New Roman" w:hAnsi="Tw Cen MT"/>
          <w:sz w:val="24"/>
          <w:szCs w:val="24"/>
        </w:rPr>
        <w:t>anak</w:t>
      </w:r>
      <w:r>
        <w:rPr>
          <w:rFonts w:ascii="Tw Cen MT" w:cs="Times New Roman" w:hAnsi="Tw Cen MT"/>
          <w:sz w:val="24"/>
          <w:szCs w:val="24"/>
        </w:rPr>
        <w:t xml:space="preserve">.  </w:t>
      </w:r>
      <w:r>
        <w:rPr>
          <w:rFonts w:ascii="Tw Cen MT" w:cs="Times New Roman" w:hAnsi="Tw Cen MT"/>
          <w:sz w:val="24"/>
          <w:szCs w:val="24"/>
        </w:rPr>
        <w:t>Mekanisme</w:t>
      </w:r>
      <w:r>
        <w:rPr>
          <w:rFonts w:ascii="Tw Cen MT" w:cs="Times New Roman" w:hAnsi="Tw Cen MT"/>
          <w:sz w:val="24"/>
          <w:szCs w:val="24"/>
        </w:rPr>
        <w:t xml:space="preserve"> </w:t>
      </w:r>
      <w:r>
        <w:rPr>
          <w:rFonts w:ascii="Tw Cen MT" w:cs="Times New Roman" w:hAnsi="Tw Cen MT"/>
          <w:sz w:val="24"/>
          <w:szCs w:val="24"/>
        </w:rPr>
        <w:t>koping</w:t>
      </w:r>
      <w:r>
        <w:rPr>
          <w:rFonts w:ascii="Tw Cen MT" w:cs="Times New Roman" w:hAnsi="Tw Cen MT"/>
          <w:sz w:val="24"/>
          <w:szCs w:val="24"/>
        </w:rPr>
        <w:t> </w:t>
      </w:r>
      <w:r>
        <w:rPr>
          <w:rFonts w:ascii="Tw Cen MT" w:cs="Times New Roman" w:hAnsi="Tw Cen MT"/>
          <w:sz w:val="24"/>
          <w:szCs w:val="24"/>
        </w:rPr>
        <w:t>merupakan</w:t>
      </w:r>
      <w:r>
        <w:rPr>
          <w:rFonts w:ascii="Tw Cen MT" w:cs="Times New Roman" w:hAnsi="Tw Cen MT"/>
          <w:sz w:val="24"/>
          <w:szCs w:val="24"/>
        </w:rPr>
        <w:t xml:space="preserve">  </w:t>
      </w:r>
      <w:r>
        <w:rPr>
          <w:rFonts w:ascii="Tw Cen MT" w:cs="Times New Roman" w:hAnsi="Tw Cen MT"/>
          <w:sz w:val="24"/>
          <w:szCs w:val="24"/>
        </w:rPr>
        <w:t>cara</w:t>
      </w:r>
      <w:r>
        <w:rPr>
          <w:rFonts w:ascii="Tw Cen MT" w:cs="Times New Roman" w:hAnsi="Tw Cen MT"/>
          <w:sz w:val="24"/>
          <w:szCs w:val="24"/>
        </w:rPr>
        <w:t xml:space="preserve"> </w:t>
      </w:r>
      <w:r>
        <w:rPr>
          <w:rFonts w:ascii="Tw Cen MT" w:cs="Times New Roman" w:hAnsi="Tw Cen MT"/>
          <w:sz w:val="24"/>
          <w:szCs w:val="24"/>
        </w:rPr>
        <w:t>seseorang</w:t>
      </w:r>
      <w:r>
        <w:rPr>
          <w:rFonts w:ascii="Tw Cen MT" w:cs="Times New Roman" w:hAnsi="Tw Cen MT"/>
          <w:sz w:val="24"/>
          <w:szCs w:val="24"/>
        </w:rPr>
        <w:t xml:space="preserve"> </w:t>
      </w:r>
      <w:r>
        <w:rPr>
          <w:rFonts w:ascii="Tw Cen MT" w:cs="Times New Roman" w:hAnsi="Tw Cen MT"/>
          <w:sz w:val="24"/>
          <w:szCs w:val="24"/>
        </w:rPr>
        <w:t>atau</w:t>
      </w:r>
      <w:r>
        <w:rPr>
          <w:rFonts w:ascii="Tw Cen MT" w:cs="Times New Roman" w:hAnsi="Tw Cen MT"/>
          <w:sz w:val="24"/>
          <w:szCs w:val="24"/>
        </w:rPr>
        <w:t xml:space="preserve"> </w:t>
      </w:r>
      <w:r>
        <w:rPr>
          <w:rFonts w:ascii="Tw Cen MT" w:cs="Times New Roman" w:hAnsi="Tw Cen MT"/>
          <w:sz w:val="24"/>
          <w:szCs w:val="24"/>
        </w:rPr>
        <w:t>keluarga</w:t>
      </w:r>
      <w:r>
        <w:rPr>
          <w:rFonts w:ascii="Tw Cen MT" w:cs="Times New Roman" w:hAnsi="Tw Cen MT"/>
          <w:sz w:val="24"/>
          <w:szCs w:val="24"/>
        </w:rPr>
        <w:t xml:space="preserve"> </w:t>
      </w:r>
      <w:r>
        <w:rPr>
          <w:rFonts w:ascii="Tw Cen MT" w:cs="Times New Roman" w:hAnsi="Tw Cen MT"/>
          <w:sz w:val="24"/>
          <w:szCs w:val="24"/>
        </w:rPr>
        <w:t>mengatasi</w:t>
      </w:r>
      <w:r>
        <w:rPr>
          <w:rFonts w:ascii="Tw Cen MT" w:cs="Times New Roman" w:hAnsi="Tw Cen MT"/>
          <w:sz w:val="24"/>
          <w:szCs w:val="24"/>
        </w:rPr>
        <w:t xml:space="preserve"> </w:t>
      </w:r>
      <w:r>
        <w:rPr>
          <w:rFonts w:ascii="Tw Cen MT" w:cs="Times New Roman" w:hAnsi="Tw Cen MT"/>
          <w:sz w:val="24"/>
          <w:szCs w:val="24"/>
        </w:rPr>
        <w:t>stres</w:t>
      </w:r>
      <w:r>
        <w:rPr>
          <w:rFonts w:ascii="Tw Cen MT" w:cs="Times New Roman" w:hAnsi="Tw Cen MT"/>
          <w:sz w:val="24"/>
          <w:szCs w:val="24"/>
        </w:rPr>
        <w:t xml:space="preserve"> </w:t>
      </w:r>
      <w:r>
        <w:rPr>
          <w:rFonts w:ascii="Tw Cen MT" w:cs="Times New Roman" w:hAnsi="Tw Cen MT"/>
          <w:sz w:val="24"/>
          <w:szCs w:val="24"/>
        </w:rPr>
        <w:t>atau</w:t>
      </w:r>
      <w:r>
        <w:rPr>
          <w:rFonts w:ascii="Tw Cen MT" w:cs="Times New Roman" w:hAnsi="Tw Cen MT"/>
          <w:sz w:val="24"/>
          <w:szCs w:val="24"/>
        </w:rPr>
        <w:t xml:space="preserve"> </w:t>
      </w:r>
      <w:r>
        <w:rPr>
          <w:rFonts w:ascii="Tw Cen MT" w:cs="Times New Roman" w:hAnsi="Tw Cen MT"/>
          <w:sz w:val="24"/>
          <w:szCs w:val="24"/>
        </w:rPr>
        <w:t>tekanan</w:t>
      </w:r>
      <w:r>
        <w:rPr>
          <w:rFonts w:ascii="Tw Cen MT" w:cs="Times New Roman" w:hAnsi="Tw Cen MT"/>
          <w:sz w:val="24"/>
          <w:szCs w:val="24"/>
        </w:rPr>
        <w:t xml:space="preserve">, </w:t>
      </w:r>
      <w:r>
        <w:rPr>
          <w:rFonts w:ascii="Tw Cen MT" w:cs="Times New Roman" w:hAnsi="Tw Cen MT"/>
          <w:sz w:val="24"/>
          <w:szCs w:val="24"/>
        </w:rPr>
        <w:t>baik</w:t>
      </w:r>
      <w:r>
        <w:rPr>
          <w:rFonts w:ascii="Tw Cen MT" w:cs="Times New Roman" w:hAnsi="Tw Cen MT"/>
          <w:sz w:val="24"/>
          <w:szCs w:val="24"/>
        </w:rPr>
        <w:t xml:space="preserve"> </w:t>
      </w:r>
      <w:r>
        <w:rPr>
          <w:rFonts w:ascii="Tw Cen MT" w:cs="Times New Roman" w:hAnsi="Tw Cen MT"/>
          <w:sz w:val="24"/>
          <w:szCs w:val="24"/>
        </w:rPr>
        <w:t>secara</w:t>
      </w:r>
      <w:r>
        <w:rPr>
          <w:rFonts w:ascii="Tw Cen MT" w:cs="Times New Roman" w:hAnsi="Tw Cen MT"/>
          <w:sz w:val="24"/>
          <w:szCs w:val="24"/>
        </w:rPr>
        <w:t xml:space="preserve"> </w:t>
      </w:r>
      <w:r>
        <w:rPr>
          <w:rFonts w:ascii="Tw Cen MT" w:cs="Times New Roman" w:hAnsi="Tw Cen MT"/>
          <w:sz w:val="24"/>
          <w:szCs w:val="24"/>
        </w:rPr>
        <w:t>emosional</w:t>
      </w:r>
      <w:r>
        <w:rPr>
          <w:rFonts w:ascii="Tw Cen MT" w:cs="Times New Roman" w:hAnsi="Tw Cen MT"/>
          <w:sz w:val="24"/>
          <w:szCs w:val="24"/>
        </w:rPr>
        <w:t xml:space="preserve">, </w:t>
      </w:r>
      <w:r>
        <w:rPr>
          <w:rFonts w:ascii="Tw Cen MT" w:cs="Times New Roman" w:hAnsi="Tw Cen MT"/>
          <w:sz w:val="24"/>
          <w:szCs w:val="24"/>
        </w:rPr>
        <w:t>psikologis</w:t>
      </w:r>
      <w:r>
        <w:rPr>
          <w:rFonts w:ascii="Tw Cen MT" w:cs="Times New Roman" w:hAnsi="Tw Cen MT"/>
          <w:sz w:val="24"/>
          <w:szCs w:val="24"/>
        </w:rPr>
        <w:t xml:space="preserve">, </w:t>
      </w:r>
      <w:r>
        <w:rPr>
          <w:rFonts w:ascii="Tw Cen MT" w:cs="Times New Roman" w:hAnsi="Tw Cen MT"/>
          <w:sz w:val="24"/>
          <w:szCs w:val="24"/>
        </w:rPr>
        <w:t>maupun</w:t>
      </w:r>
      <w:r>
        <w:rPr>
          <w:rFonts w:ascii="Tw Cen MT" w:cs="Times New Roman" w:hAnsi="Tw Cen MT"/>
          <w:sz w:val="24"/>
          <w:szCs w:val="24"/>
        </w:rPr>
        <w:t xml:space="preserve"> </w:t>
      </w:r>
      <w:r>
        <w:rPr>
          <w:rFonts w:ascii="Tw Cen MT" w:cs="Times New Roman" w:hAnsi="Tw Cen MT"/>
          <w:sz w:val="24"/>
          <w:szCs w:val="24"/>
        </w:rPr>
        <w:t>fisik</w:t>
      </w:r>
      <w:r>
        <w:rPr>
          <w:rFonts w:ascii="Tw Cen MT" w:cs="Times New Roman" w:hAnsi="Tw Cen MT"/>
          <w:sz w:val="24"/>
          <w:szCs w:val="24"/>
        </w:rPr>
        <w:t xml:space="preserve">. Dalam </w:t>
      </w:r>
      <w:r>
        <w:rPr>
          <w:rFonts w:ascii="Tw Cen MT" w:cs="Times New Roman" w:hAnsi="Tw Cen MT"/>
          <w:sz w:val="24"/>
          <w:szCs w:val="24"/>
        </w:rPr>
        <w:t>konteks</w:t>
      </w:r>
      <w:r>
        <w:rPr>
          <w:rFonts w:ascii="Tw Cen MT" w:cs="Times New Roman" w:hAnsi="Tw Cen MT"/>
          <w:sz w:val="24"/>
          <w:szCs w:val="24"/>
        </w:rPr>
        <w:t xml:space="preserve"> </w:t>
      </w:r>
      <w:r>
        <w:rPr>
          <w:rFonts w:ascii="Tw Cen MT" w:cs="Times New Roman" w:hAnsi="Tw Cen MT"/>
          <w:sz w:val="24"/>
          <w:szCs w:val="24"/>
        </w:rPr>
        <w:t>keluarga</w:t>
      </w:r>
      <w:r>
        <w:rPr>
          <w:rFonts w:ascii="Tw Cen MT" w:cs="Times New Roman" w:hAnsi="Tw Cen MT"/>
          <w:sz w:val="24"/>
          <w:szCs w:val="24"/>
        </w:rPr>
        <w:t xml:space="preserve">, </w:t>
      </w:r>
      <w:r>
        <w:rPr>
          <w:rFonts w:ascii="Tw Cen MT" w:cs="Times New Roman" w:hAnsi="Tw Cen MT"/>
          <w:sz w:val="24"/>
          <w:szCs w:val="24"/>
        </w:rPr>
        <w:t>mekanisme</w:t>
      </w:r>
      <w:r>
        <w:rPr>
          <w:rFonts w:ascii="Tw Cen MT" w:cs="Times New Roman" w:hAnsi="Tw Cen MT"/>
          <w:sz w:val="24"/>
          <w:szCs w:val="24"/>
        </w:rPr>
        <w:t xml:space="preserve"> </w:t>
      </w:r>
      <w:r>
        <w:rPr>
          <w:rFonts w:ascii="Tw Cen MT" w:cs="Times New Roman" w:hAnsi="Tw Cen MT"/>
          <w:sz w:val="24"/>
          <w:szCs w:val="24"/>
        </w:rPr>
        <w:t>koping</w:t>
      </w:r>
      <w:r>
        <w:rPr>
          <w:rFonts w:ascii="Tw Cen MT" w:cs="Times New Roman" w:hAnsi="Tw Cen MT"/>
          <w:sz w:val="24"/>
          <w:szCs w:val="24"/>
        </w:rPr>
        <w:t xml:space="preserve"> </w:t>
      </w:r>
      <w:r>
        <w:rPr>
          <w:rFonts w:ascii="Tw Cen MT" w:cs="Times New Roman" w:hAnsi="Tw Cen MT"/>
          <w:sz w:val="24"/>
          <w:szCs w:val="24"/>
        </w:rPr>
        <w:t>sering</w:t>
      </w:r>
      <w:r>
        <w:rPr>
          <w:rFonts w:ascii="Tw Cen MT" w:cs="Times New Roman" w:hAnsi="Tw Cen MT"/>
          <w:sz w:val="24"/>
          <w:szCs w:val="24"/>
        </w:rPr>
        <w:t xml:space="preserve"> </w:t>
      </w:r>
      <w:r>
        <w:rPr>
          <w:rFonts w:ascii="Tw Cen MT" w:cs="Times New Roman" w:hAnsi="Tw Cen MT"/>
          <w:sz w:val="24"/>
          <w:szCs w:val="24"/>
        </w:rPr>
        <w:t>digunakan</w:t>
      </w:r>
      <w:r>
        <w:rPr>
          <w:rFonts w:ascii="Tw Cen MT" w:cs="Times New Roman" w:hAnsi="Tw Cen MT"/>
          <w:sz w:val="24"/>
          <w:szCs w:val="24"/>
        </w:rPr>
        <w:t xml:space="preserve"> </w:t>
      </w:r>
      <w:r>
        <w:rPr>
          <w:rFonts w:ascii="Tw Cen MT" w:cs="Times New Roman" w:hAnsi="Tw Cen MT"/>
          <w:sz w:val="24"/>
          <w:szCs w:val="24"/>
        </w:rPr>
        <w:t>untuk</w:t>
      </w:r>
      <w:r>
        <w:rPr>
          <w:rFonts w:ascii="Tw Cen MT" w:cs="Times New Roman" w:hAnsi="Tw Cen MT"/>
          <w:sz w:val="24"/>
          <w:szCs w:val="24"/>
        </w:rPr>
        <w:t xml:space="preserve"> </w:t>
      </w:r>
      <w:r>
        <w:rPr>
          <w:rFonts w:ascii="Tw Cen MT" w:cs="Times New Roman" w:hAnsi="Tw Cen MT"/>
          <w:sz w:val="24"/>
          <w:szCs w:val="24"/>
        </w:rPr>
        <w:t>mengelola</w:t>
      </w:r>
      <w:r>
        <w:rPr>
          <w:rFonts w:ascii="Tw Cen MT" w:cs="Times New Roman" w:hAnsi="Tw Cen MT"/>
          <w:sz w:val="24"/>
          <w:szCs w:val="24"/>
        </w:rPr>
        <w:t xml:space="preserve"> </w:t>
      </w:r>
      <w:r>
        <w:rPr>
          <w:rFonts w:ascii="Tw Cen MT" w:cs="Times New Roman" w:hAnsi="Tw Cen MT"/>
          <w:sz w:val="24"/>
          <w:szCs w:val="24"/>
        </w:rPr>
        <w:t>tekanan</w:t>
      </w:r>
      <w:r>
        <w:rPr>
          <w:rFonts w:ascii="Tw Cen MT" w:cs="Times New Roman" w:hAnsi="Tw Cen MT"/>
          <w:sz w:val="24"/>
          <w:szCs w:val="24"/>
        </w:rPr>
        <w:t xml:space="preserve"> </w:t>
      </w:r>
      <w:r>
        <w:rPr>
          <w:rFonts w:ascii="Tw Cen MT" w:cs="Times New Roman" w:hAnsi="Tw Cen MT"/>
          <w:sz w:val="24"/>
          <w:szCs w:val="24"/>
        </w:rPr>
        <w:t>terkait</w:t>
      </w:r>
      <w:r>
        <w:rPr>
          <w:rFonts w:ascii="Tw Cen MT" w:cs="Times New Roman" w:hAnsi="Tw Cen MT"/>
          <w:sz w:val="24"/>
          <w:szCs w:val="24"/>
        </w:rPr>
        <w:t xml:space="preserve"> </w:t>
      </w:r>
      <w:r>
        <w:rPr>
          <w:rFonts w:ascii="Tw Cen MT" w:cs="Times New Roman" w:hAnsi="Tw Cen MT"/>
          <w:sz w:val="24"/>
          <w:szCs w:val="24"/>
        </w:rPr>
        <w:t>ekonomi</w:t>
      </w:r>
      <w:r>
        <w:rPr>
          <w:rFonts w:ascii="Tw Cen MT" w:cs="Times New Roman" w:hAnsi="Tw Cen MT"/>
          <w:sz w:val="24"/>
          <w:szCs w:val="24"/>
        </w:rPr>
        <w:t xml:space="preserve">, </w:t>
      </w:r>
      <w:r>
        <w:rPr>
          <w:rFonts w:ascii="Tw Cen MT" w:cs="Times New Roman" w:hAnsi="Tw Cen MT"/>
          <w:sz w:val="24"/>
          <w:szCs w:val="24"/>
        </w:rPr>
        <w:t>sosial</w:t>
      </w:r>
      <w:r>
        <w:rPr>
          <w:rFonts w:ascii="Tw Cen MT" w:cs="Times New Roman" w:hAnsi="Tw Cen MT"/>
          <w:sz w:val="24"/>
          <w:szCs w:val="24"/>
        </w:rPr>
        <w:t xml:space="preserve">, dan </w:t>
      </w:r>
      <w:r>
        <w:rPr>
          <w:rFonts w:ascii="Tw Cen MT" w:cs="Times New Roman" w:hAnsi="Tw Cen MT"/>
          <w:sz w:val="24"/>
          <w:szCs w:val="24"/>
        </w:rPr>
        <w:t>kesehatan</w:t>
      </w:r>
      <w:r>
        <w:rPr>
          <w:rFonts w:ascii="Tw Cen MT" w:cs="Times New Roman" w:hAnsi="Tw Cen MT"/>
          <w:sz w:val="24"/>
          <w:szCs w:val="24"/>
        </w:rPr>
        <w:t xml:space="preserve"> </w:t>
      </w:r>
      <w:r>
        <w:rPr>
          <w:rFonts w:ascii="Tw Cen MT" w:cs="Times New Roman" w:hAnsi="Tw Cen MT"/>
          <w:sz w:val="24"/>
          <w:szCs w:val="24"/>
        </w:rPr>
        <w:t>anak</w:t>
      </w:r>
      <w:r>
        <w:rPr>
          <w:rFonts w:ascii="Tw Cen MT" w:cs="Times New Roman" w:hAnsi="Tw Cen MT"/>
          <w:sz w:val="24"/>
          <w:szCs w:val="24"/>
        </w:rPr>
        <w:t xml:space="preserve">. </w:t>
      </w:r>
      <w:r>
        <w:rPr>
          <w:rFonts w:ascii="Tw Cen MT" w:cs="Times New Roman" w:hAnsi="Tw Cen MT"/>
          <w:sz w:val="24"/>
          <w:szCs w:val="24"/>
        </w:rPr>
        <w:t>Keluarga</w:t>
      </w:r>
      <w:r>
        <w:rPr>
          <w:rFonts w:ascii="Tw Cen MT" w:cs="Times New Roman" w:hAnsi="Tw Cen MT"/>
          <w:sz w:val="24"/>
          <w:szCs w:val="24"/>
        </w:rPr>
        <w:t xml:space="preserve"> yang </w:t>
      </w:r>
      <w:r>
        <w:rPr>
          <w:rFonts w:ascii="Tw Cen MT" w:cs="Times New Roman" w:hAnsi="Tw Cen MT"/>
          <w:sz w:val="24"/>
          <w:szCs w:val="24"/>
        </w:rPr>
        <w:t>memiliki</w:t>
      </w:r>
      <w:r>
        <w:rPr>
          <w:rFonts w:ascii="Tw Cen MT" w:cs="Times New Roman" w:hAnsi="Tw Cen MT"/>
          <w:sz w:val="24"/>
          <w:szCs w:val="24"/>
        </w:rPr>
        <w:t xml:space="preserve"> </w:t>
      </w:r>
      <w:r>
        <w:rPr>
          <w:rFonts w:ascii="Tw Cen MT" w:cs="Times New Roman" w:hAnsi="Tw Cen MT"/>
          <w:sz w:val="24"/>
          <w:szCs w:val="24"/>
        </w:rPr>
        <w:t>mekanisme</w:t>
      </w:r>
      <w:r>
        <w:rPr>
          <w:rFonts w:ascii="Tw Cen MT" w:cs="Times New Roman" w:hAnsi="Tw Cen MT"/>
          <w:sz w:val="24"/>
          <w:szCs w:val="24"/>
        </w:rPr>
        <w:t xml:space="preserve"> </w:t>
      </w:r>
      <w:r>
        <w:rPr>
          <w:rFonts w:ascii="Tw Cen MT" w:cs="Times New Roman" w:hAnsi="Tw Cen MT"/>
          <w:sz w:val="24"/>
          <w:szCs w:val="24"/>
        </w:rPr>
        <w:t>koping</w:t>
      </w:r>
      <w:r>
        <w:rPr>
          <w:rFonts w:ascii="Tw Cen MT" w:cs="Times New Roman" w:hAnsi="Tw Cen MT"/>
          <w:sz w:val="24"/>
          <w:szCs w:val="24"/>
        </w:rPr>
        <w:t xml:space="preserve"> </w:t>
      </w:r>
      <w:r>
        <w:rPr>
          <w:rFonts w:ascii="Tw Cen MT" w:cs="Times New Roman" w:hAnsi="Tw Cen MT"/>
          <w:sz w:val="24"/>
          <w:szCs w:val="24"/>
        </w:rPr>
        <w:t>adaptif</w:t>
      </w:r>
      <w:r>
        <w:rPr>
          <w:rFonts w:ascii="Tw Cen MT" w:cs="Times New Roman" w:hAnsi="Tw Cen MT"/>
          <w:sz w:val="24"/>
          <w:szCs w:val="24"/>
        </w:rPr>
        <w:t xml:space="preserve"> </w:t>
      </w:r>
      <w:r>
        <w:rPr>
          <w:rFonts w:ascii="Tw Cen MT" w:cs="Times New Roman" w:hAnsi="Tw Cen MT"/>
          <w:sz w:val="24"/>
          <w:szCs w:val="24"/>
        </w:rPr>
        <w:t>cenderung</w:t>
      </w:r>
      <w:r>
        <w:rPr>
          <w:rFonts w:ascii="Tw Cen MT" w:cs="Times New Roman" w:hAnsi="Tw Cen MT"/>
          <w:sz w:val="24"/>
          <w:szCs w:val="24"/>
        </w:rPr>
        <w:t xml:space="preserve"> </w:t>
      </w:r>
      <w:r>
        <w:rPr>
          <w:rFonts w:ascii="Tw Cen MT" w:cs="Times New Roman" w:hAnsi="Tw Cen MT"/>
          <w:sz w:val="24"/>
          <w:szCs w:val="24"/>
        </w:rPr>
        <w:t>lebih</w:t>
      </w:r>
      <w:r>
        <w:rPr>
          <w:rFonts w:ascii="Tw Cen MT" w:cs="Times New Roman" w:hAnsi="Tw Cen MT"/>
          <w:sz w:val="24"/>
          <w:szCs w:val="24"/>
        </w:rPr>
        <w:t xml:space="preserve"> </w:t>
      </w:r>
      <w:r>
        <w:rPr>
          <w:rFonts w:ascii="Tw Cen MT" w:cs="Times New Roman" w:hAnsi="Tw Cen MT"/>
          <w:sz w:val="24"/>
          <w:szCs w:val="24"/>
        </w:rPr>
        <w:t>mampu</w:t>
      </w:r>
      <w:r>
        <w:rPr>
          <w:rFonts w:ascii="Tw Cen MT" w:cs="Times New Roman" w:hAnsi="Tw Cen MT"/>
          <w:sz w:val="24"/>
          <w:szCs w:val="24"/>
        </w:rPr>
        <w:t xml:space="preserve"> </w:t>
      </w:r>
      <w:r>
        <w:rPr>
          <w:rFonts w:ascii="Tw Cen MT" w:cs="Times New Roman" w:hAnsi="Tw Cen MT"/>
          <w:sz w:val="24"/>
          <w:szCs w:val="24"/>
        </w:rPr>
        <w:t>mencari</w:t>
      </w:r>
      <w:r>
        <w:rPr>
          <w:rFonts w:ascii="Tw Cen MT" w:cs="Times New Roman" w:hAnsi="Tw Cen MT"/>
          <w:sz w:val="24"/>
          <w:szCs w:val="24"/>
        </w:rPr>
        <w:t xml:space="preserve"> </w:t>
      </w:r>
      <w:r>
        <w:rPr>
          <w:rFonts w:ascii="Tw Cen MT" w:cs="Times New Roman" w:hAnsi="Tw Cen MT"/>
          <w:sz w:val="24"/>
          <w:szCs w:val="24"/>
        </w:rPr>
        <w:t>solusi</w:t>
      </w:r>
      <w:r>
        <w:rPr>
          <w:rFonts w:ascii="Tw Cen MT" w:cs="Times New Roman" w:hAnsi="Tw Cen MT"/>
          <w:sz w:val="24"/>
          <w:szCs w:val="24"/>
        </w:rPr>
        <w:t xml:space="preserve"> </w:t>
      </w:r>
      <w:r>
        <w:rPr>
          <w:rFonts w:ascii="Tw Cen MT" w:cs="Times New Roman" w:hAnsi="Tw Cen MT"/>
          <w:sz w:val="24"/>
          <w:szCs w:val="24"/>
        </w:rPr>
        <w:t>untuk</w:t>
      </w:r>
      <w:r>
        <w:rPr>
          <w:rFonts w:ascii="Tw Cen MT" w:cs="Times New Roman" w:hAnsi="Tw Cen MT"/>
          <w:sz w:val="24"/>
          <w:szCs w:val="24"/>
        </w:rPr>
        <w:t xml:space="preserve"> </w:t>
      </w:r>
      <w:r>
        <w:rPr>
          <w:rFonts w:ascii="Tw Cen MT" w:cs="Times New Roman" w:hAnsi="Tw Cen MT"/>
          <w:sz w:val="24"/>
          <w:szCs w:val="24"/>
        </w:rPr>
        <w:t>memenuhi</w:t>
      </w:r>
      <w:r>
        <w:rPr>
          <w:rFonts w:ascii="Tw Cen MT" w:cs="Times New Roman" w:hAnsi="Tw Cen MT"/>
          <w:sz w:val="24"/>
          <w:szCs w:val="24"/>
        </w:rPr>
        <w:t xml:space="preserve"> </w:t>
      </w:r>
      <w:r>
        <w:rPr>
          <w:rFonts w:ascii="Tw Cen MT" w:cs="Times New Roman" w:hAnsi="Tw Cen MT"/>
          <w:sz w:val="24"/>
          <w:szCs w:val="24"/>
        </w:rPr>
        <w:t>kebutuhan</w:t>
      </w:r>
      <w:r>
        <w:rPr>
          <w:rFonts w:ascii="Tw Cen MT" w:cs="Times New Roman" w:hAnsi="Tw Cen MT"/>
          <w:sz w:val="24"/>
          <w:szCs w:val="24"/>
        </w:rPr>
        <w:t xml:space="preserve"> </w:t>
      </w:r>
      <w:r>
        <w:rPr>
          <w:rFonts w:ascii="Tw Cen MT" w:cs="Times New Roman" w:hAnsi="Tw Cen MT"/>
          <w:sz w:val="24"/>
          <w:szCs w:val="24"/>
        </w:rPr>
        <w:t>gizi</w:t>
      </w:r>
      <w:r>
        <w:rPr>
          <w:rFonts w:ascii="Tw Cen MT" w:cs="Times New Roman" w:hAnsi="Tw Cen MT"/>
          <w:sz w:val="24"/>
          <w:szCs w:val="24"/>
        </w:rPr>
        <w:t xml:space="preserve"> </w:t>
      </w:r>
      <w:r>
        <w:rPr>
          <w:rFonts w:ascii="Tw Cen MT" w:cs="Times New Roman" w:hAnsi="Tw Cen MT"/>
          <w:sz w:val="24"/>
          <w:szCs w:val="24"/>
        </w:rPr>
        <w:t>anak</w:t>
      </w:r>
      <w:r>
        <w:rPr>
          <w:rFonts w:ascii="Tw Cen MT" w:cs="Times New Roman" w:hAnsi="Tw Cen MT"/>
          <w:sz w:val="24"/>
          <w:szCs w:val="24"/>
        </w:rPr>
        <w:t xml:space="preserve">, </w:t>
      </w:r>
      <w:r>
        <w:rPr>
          <w:rFonts w:ascii="Tw Cen MT" w:cs="Times New Roman" w:hAnsi="Tw Cen MT"/>
          <w:sz w:val="24"/>
          <w:szCs w:val="24"/>
        </w:rPr>
        <w:t>meskipun</w:t>
      </w:r>
      <w:r>
        <w:rPr>
          <w:rFonts w:ascii="Tw Cen MT" w:cs="Times New Roman" w:hAnsi="Tw Cen MT"/>
          <w:sz w:val="24"/>
          <w:szCs w:val="24"/>
        </w:rPr>
        <w:t xml:space="preserve"> </w:t>
      </w:r>
      <w:r>
        <w:rPr>
          <w:rFonts w:ascii="Tw Cen MT" w:cs="Times New Roman" w:hAnsi="Tw Cen MT"/>
          <w:sz w:val="24"/>
          <w:szCs w:val="24"/>
        </w:rPr>
        <w:t>berada</w:t>
      </w:r>
      <w:r>
        <w:rPr>
          <w:rFonts w:ascii="Tw Cen MT" w:cs="Times New Roman" w:hAnsi="Tw Cen MT"/>
          <w:sz w:val="24"/>
          <w:szCs w:val="24"/>
        </w:rPr>
        <w:t xml:space="preserve"> </w:t>
      </w:r>
      <w:r>
        <w:rPr>
          <w:rFonts w:ascii="Tw Cen MT" w:cs="Times New Roman" w:hAnsi="Tw Cen MT"/>
          <w:sz w:val="24"/>
          <w:szCs w:val="24"/>
        </w:rPr>
        <w:t>dalam</w:t>
      </w:r>
      <w:r>
        <w:rPr>
          <w:rFonts w:ascii="Tw Cen MT" w:cs="Times New Roman" w:hAnsi="Tw Cen MT"/>
          <w:sz w:val="24"/>
          <w:szCs w:val="24"/>
        </w:rPr>
        <w:t xml:space="preserve"> </w:t>
      </w:r>
      <w:r>
        <w:rPr>
          <w:rFonts w:ascii="Tw Cen MT" w:cs="Times New Roman" w:hAnsi="Tw Cen MT"/>
          <w:sz w:val="24"/>
          <w:szCs w:val="24"/>
        </w:rPr>
        <w:t>situasi</w:t>
      </w:r>
      <w:r>
        <w:rPr>
          <w:rFonts w:ascii="Tw Cen MT" w:cs="Times New Roman" w:hAnsi="Tw Cen MT"/>
          <w:sz w:val="24"/>
          <w:szCs w:val="24"/>
        </w:rPr>
        <w:t xml:space="preserve"> </w:t>
      </w:r>
      <w:r>
        <w:rPr>
          <w:rFonts w:ascii="Tw Cen MT" w:cs="Times New Roman" w:hAnsi="Tw Cen MT"/>
          <w:sz w:val="24"/>
          <w:szCs w:val="24"/>
        </w:rPr>
        <w:t>ekonomi</w:t>
      </w:r>
      <w:r>
        <w:rPr>
          <w:rFonts w:ascii="Tw Cen MT" w:cs="Times New Roman" w:hAnsi="Tw Cen MT"/>
          <w:sz w:val="24"/>
          <w:szCs w:val="24"/>
        </w:rPr>
        <w:t xml:space="preserve"> yang </w:t>
      </w:r>
      <w:r>
        <w:rPr>
          <w:rFonts w:ascii="Tw Cen MT" w:cs="Times New Roman" w:hAnsi="Tw Cen MT"/>
          <w:sz w:val="24"/>
          <w:szCs w:val="24"/>
        </w:rPr>
        <w:t>sulit</w:t>
      </w:r>
      <w:r>
        <w:rPr>
          <w:rFonts w:ascii="Tw Cen MT" w:cs="Times New Roman" w:hAnsi="Tw Cen MT"/>
          <w:sz w:val="24"/>
          <w:szCs w:val="24"/>
        </w:rPr>
        <w:t xml:space="preserve">. </w:t>
      </w:r>
      <w:r>
        <w:rPr>
          <w:rFonts w:ascii="Tw Cen MT" w:cs="Times New Roman" w:hAnsi="Tw Cen MT"/>
          <w:sz w:val="24"/>
          <w:szCs w:val="24"/>
        </w:rPr>
        <w:t>Sebaliknya</w:t>
      </w:r>
      <w:r>
        <w:rPr>
          <w:rFonts w:ascii="Tw Cen MT" w:cs="Times New Roman" w:hAnsi="Tw Cen MT"/>
          <w:sz w:val="24"/>
          <w:szCs w:val="24"/>
        </w:rPr>
        <w:t xml:space="preserve">, </w:t>
      </w:r>
      <w:r>
        <w:rPr>
          <w:rFonts w:ascii="Tw Cen MT" w:cs="Times New Roman" w:hAnsi="Tw Cen MT"/>
          <w:sz w:val="24"/>
          <w:szCs w:val="24"/>
        </w:rPr>
        <w:t>keluarga</w:t>
      </w:r>
      <w:r>
        <w:rPr>
          <w:rFonts w:ascii="Tw Cen MT" w:cs="Times New Roman" w:hAnsi="Tw Cen MT"/>
          <w:sz w:val="24"/>
          <w:szCs w:val="24"/>
        </w:rPr>
        <w:t xml:space="preserve"> </w:t>
      </w:r>
      <w:r>
        <w:rPr>
          <w:rFonts w:ascii="Tw Cen MT" w:cs="Times New Roman" w:hAnsi="Tw Cen MT"/>
          <w:sz w:val="24"/>
          <w:szCs w:val="24"/>
        </w:rPr>
        <w:t>dengan</w:t>
      </w:r>
      <w:r>
        <w:rPr>
          <w:rFonts w:ascii="Tw Cen MT" w:cs="Times New Roman" w:hAnsi="Tw Cen MT"/>
          <w:sz w:val="24"/>
          <w:szCs w:val="24"/>
        </w:rPr>
        <w:t xml:space="preserve"> </w:t>
      </w:r>
      <w:r>
        <w:rPr>
          <w:rFonts w:ascii="Tw Cen MT" w:cs="Times New Roman" w:hAnsi="Tw Cen MT"/>
          <w:sz w:val="24"/>
          <w:szCs w:val="24"/>
        </w:rPr>
        <w:t>mekanisme</w:t>
      </w:r>
      <w:r>
        <w:rPr>
          <w:rFonts w:ascii="Tw Cen MT" w:cs="Times New Roman" w:hAnsi="Tw Cen MT"/>
          <w:sz w:val="24"/>
          <w:szCs w:val="24"/>
        </w:rPr>
        <w:t xml:space="preserve"> </w:t>
      </w:r>
      <w:r>
        <w:rPr>
          <w:rFonts w:ascii="Tw Cen MT" w:cs="Times New Roman" w:hAnsi="Tw Cen MT"/>
          <w:sz w:val="24"/>
          <w:szCs w:val="24"/>
        </w:rPr>
        <w:t>koping</w:t>
      </w:r>
      <w:r>
        <w:rPr>
          <w:rFonts w:ascii="Tw Cen MT" w:cs="Times New Roman" w:hAnsi="Tw Cen MT"/>
          <w:sz w:val="24"/>
          <w:szCs w:val="24"/>
        </w:rPr>
        <w:t xml:space="preserve"> </w:t>
      </w:r>
      <w:r>
        <w:rPr>
          <w:rFonts w:ascii="Tw Cen MT" w:cs="Times New Roman" w:hAnsi="Tw Cen MT"/>
          <w:sz w:val="24"/>
          <w:szCs w:val="24"/>
        </w:rPr>
        <w:t>maladaptif</w:t>
      </w:r>
      <w:r>
        <w:rPr>
          <w:rFonts w:ascii="Tw Cen MT" w:cs="Times New Roman" w:hAnsi="Tw Cen MT"/>
          <w:sz w:val="24"/>
          <w:szCs w:val="24"/>
        </w:rPr>
        <w:t xml:space="preserve"> </w:t>
      </w:r>
      <w:r>
        <w:rPr>
          <w:rFonts w:ascii="Tw Cen MT" w:cs="Times New Roman" w:hAnsi="Tw Cen MT"/>
          <w:sz w:val="24"/>
          <w:szCs w:val="24"/>
        </w:rPr>
        <w:t>mungkin</w:t>
      </w:r>
      <w:r>
        <w:rPr>
          <w:rFonts w:ascii="Tw Cen MT" w:cs="Times New Roman" w:hAnsi="Tw Cen MT"/>
          <w:sz w:val="24"/>
          <w:szCs w:val="24"/>
        </w:rPr>
        <w:t xml:space="preserve"> </w:t>
      </w:r>
      <w:r>
        <w:rPr>
          <w:rFonts w:ascii="Tw Cen MT" w:cs="Times New Roman" w:hAnsi="Tw Cen MT"/>
          <w:sz w:val="24"/>
          <w:szCs w:val="24"/>
        </w:rPr>
        <w:t>menyerah</w:t>
      </w:r>
      <w:r>
        <w:rPr>
          <w:rFonts w:ascii="Tw Cen MT" w:cs="Times New Roman" w:hAnsi="Tw Cen MT"/>
          <w:sz w:val="24"/>
          <w:szCs w:val="24"/>
        </w:rPr>
        <w:t xml:space="preserve"> pada </w:t>
      </w:r>
      <w:r>
        <w:rPr>
          <w:rFonts w:ascii="Tw Cen MT" w:cs="Times New Roman" w:hAnsi="Tw Cen MT"/>
          <w:sz w:val="24"/>
          <w:szCs w:val="24"/>
        </w:rPr>
        <w:t>situasi</w:t>
      </w:r>
      <w:r>
        <w:rPr>
          <w:rFonts w:ascii="Tw Cen MT" w:cs="Times New Roman" w:hAnsi="Tw Cen MT"/>
          <w:sz w:val="24"/>
          <w:szCs w:val="24"/>
        </w:rPr>
        <w:t xml:space="preserve">, </w:t>
      </w:r>
      <w:r>
        <w:rPr>
          <w:rFonts w:ascii="Tw Cen MT" w:cs="Times New Roman" w:hAnsi="Tw Cen MT"/>
          <w:sz w:val="24"/>
          <w:szCs w:val="24"/>
        </w:rPr>
        <w:t>sehingga</w:t>
      </w:r>
      <w:r>
        <w:rPr>
          <w:rFonts w:ascii="Tw Cen MT" w:cs="Times New Roman" w:hAnsi="Tw Cen MT"/>
          <w:sz w:val="24"/>
          <w:szCs w:val="24"/>
        </w:rPr>
        <w:t xml:space="preserve"> </w:t>
      </w:r>
      <w:r>
        <w:rPr>
          <w:rFonts w:ascii="Tw Cen MT" w:cs="Times New Roman" w:hAnsi="Tw Cen MT"/>
          <w:sz w:val="24"/>
          <w:szCs w:val="24"/>
        </w:rPr>
        <w:t>tidak</w:t>
      </w:r>
      <w:r>
        <w:rPr>
          <w:rFonts w:ascii="Tw Cen MT" w:cs="Times New Roman" w:hAnsi="Tw Cen MT"/>
          <w:sz w:val="24"/>
          <w:szCs w:val="24"/>
        </w:rPr>
        <w:t xml:space="preserve"> </w:t>
      </w:r>
      <w:r>
        <w:rPr>
          <w:rFonts w:ascii="Tw Cen MT" w:cs="Times New Roman" w:hAnsi="Tw Cen MT"/>
          <w:sz w:val="24"/>
          <w:szCs w:val="24"/>
        </w:rPr>
        <w:t>mampu</w:t>
      </w:r>
      <w:r>
        <w:rPr>
          <w:rFonts w:ascii="Tw Cen MT" w:cs="Times New Roman" w:hAnsi="Tw Cen MT"/>
          <w:sz w:val="24"/>
          <w:szCs w:val="24"/>
        </w:rPr>
        <w:t xml:space="preserve"> </w:t>
      </w:r>
      <w:r>
        <w:rPr>
          <w:rFonts w:ascii="Tw Cen MT" w:cs="Times New Roman" w:hAnsi="Tw Cen MT"/>
          <w:sz w:val="24"/>
          <w:szCs w:val="24"/>
        </w:rPr>
        <w:t>menyediakan</w:t>
      </w:r>
      <w:r>
        <w:rPr>
          <w:rFonts w:ascii="Tw Cen MT" w:cs="Times New Roman" w:hAnsi="Tw Cen MT"/>
          <w:sz w:val="24"/>
          <w:szCs w:val="24"/>
        </w:rPr>
        <w:t xml:space="preserve"> </w:t>
      </w:r>
      <w:r>
        <w:rPr>
          <w:rFonts w:ascii="Tw Cen MT" w:cs="Times New Roman" w:hAnsi="Tw Cen MT"/>
          <w:sz w:val="24"/>
          <w:szCs w:val="24"/>
        </w:rPr>
        <w:t>makanan</w:t>
      </w:r>
      <w:r>
        <w:rPr>
          <w:rFonts w:ascii="Tw Cen MT" w:cs="Times New Roman" w:hAnsi="Tw Cen MT"/>
          <w:sz w:val="24"/>
          <w:szCs w:val="24"/>
        </w:rPr>
        <w:t xml:space="preserve"> </w:t>
      </w:r>
      <w:r>
        <w:rPr>
          <w:rFonts w:ascii="Tw Cen MT" w:cs="Times New Roman" w:hAnsi="Tw Cen MT"/>
          <w:sz w:val="24"/>
          <w:szCs w:val="24"/>
        </w:rPr>
        <w:t>bergizi</w:t>
      </w:r>
      <w:r>
        <w:rPr>
          <w:rFonts w:ascii="Tw Cen MT" w:cs="Times New Roman" w:hAnsi="Tw Cen MT"/>
          <w:sz w:val="24"/>
          <w:szCs w:val="24"/>
        </w:rPr>
        <w:t>.</w:t>
      </w:r>
      <w:r>
        <w:rPr>
          <w:rFonts w:ascii="Tw Cen MT" w:cs="Segoe UI" w:hAnsi="Tw Cen MT"/>
          <w:color w:val="0d0d0d"/>
          <w:sz w:val="24"/>
          <w:szCs w:val="24"/>
          <w:shd w:val="clear" w:color="auto" w:fill="ffffff"/>
        </w:rPr>
        <w:t xml:space="preserve"> </w:t>
      </w:r>
      <w:r>
        <w:rPr>
          <w:rFonts w:ascii="Tw Cen MT" w:cs="Times New Roman" w:hAnsi="Tw Cen MT"/>
          <w:sz w:val="24"/>
          <w:szCs w:val="24"/>
        </w:rPr>
        <w:t xml:space="preserve">Orang </w:t>
      </w:r>
      <w:r>
        <w:rPr>
          <w:rFonts w:ascii="Tw Cen MT" w:cs="Times New Roman" w:hAnsi="Tw Cen MT"/>
          <w:sz w:val="24"/>
          <w:szCs w:val="24"/>
        </w:rPr>
        <w:t>tua</w:t>
      </w:r>
      <w:r>
        <w:rPr>
          <w:rFonts w:ascii="Tw Cen MT" w:cs="Times New Roman" w:hAnsi="Tw Cen MT"/>
          <w:sz w:val="24"/>
          <w:szCs w:val="24"/>
        </w:rPr>
        <w:t xml:space="preserve"> yang </w:t>
      </w:r>
      <w:r>
        <w:rPr>
          <w:rFonts w:ascii="Tw Cen MT" w:cs="Times New Roman" w:hAnsi="Tw Cen MT"/>
          <w:sz w:val="24"/>
          <w:szCs w:val="24"/>
        </w:rPr>
        <w:t>mampu</w:t>
      </w:r>
      <w:r>
        <w:rPr>
          <w:rFonts w:ascii="Tw Cen MT" w:cs="Times New Roman" w:hAnsi="Tw Cen MT"/>
          <w:sz w:val="24"/>
          <w:szCs w:val="24"/>
        </w:rPr>
        <w:t xml:space="preserve"> </w:t>
      </w:r>
      <w:r>
        <w:rPr>
          <w:rFonts w:ascii="Tw Cen MT" w:cs="Times New Roman" w:hAnsi="Tw Cen MT"/>
          <w:sz w:val="24"/>
          <w:szCs w:val="24"/>
        </w:rPr>
        <w:t>mengelola</w:t>
      </w:r>
      <w:r>
        <w:rPr>
          <w:rFonts w:ascii="Tw Cen MT" w:cs="Times New Roman" w:hAnsi="Tw Cen MT"/>
          <w:sz w:val="24"/>
          <w:szCs w:val="24"/>
        </w:rPr>
        <w:t xml:space="preserve"> </w:t>
      </w:r>
      <w:r>
        <w:rPr>
          <w:rFonts w:ascii="Tw Cen MT" w:cs="Times New Roman" w:hAnsi="Tw Cen MT"/>
          <w:sz w:val="24"/>
          <w:szCs w:val="24"/>
        </w:rPr>
        <w:t>stres</w:t>
      </w:r>
      <w:r>
        <w:rPr>
          <w:rFonts w:ascii="Tw Cen MT" w:cs="Times New Roman" w:hAnsi="Tw Cen MT"/>
          <w:sz w:val="24"/>
          <w:szCs w:val="24"/>
        </w:rPr>
        <w:t xml:space="preserve"> </w:t>
      </w:r>
      <w:r>
        <w:rPr>
          <w:rFonts w:ascii="Tw Cen MT" w:cs="Times New Roman" w:hAnsi="Tw Cen MT"/>
          <w:sz w:val="24"/>
          <w:szCs w:val="24"/>
        </w:rPr>
        <w:t>dengan</w:t>
      </w:r>
      <w:r>
        <w:rPr>
          <w:rFonts w:ascii="Tw Cen MT" w:cs="Times New Roman" w:hAnsi="Tw Cen MT"/>
          <w:sz w:val="24"/>
          <w:szCs w:val="24"/>
        </w:rPr>
        <w:t xml:space="preserve"> </w:t>
      </w:r>
      <w:r>
        <w:rPr>
          <w:rFonts w:ascii="Tw Cen MT" w:cs="Times New Roman" w:hAnsi="Tw Cen MT"/>
          <w:sz w:val="24"/>
          <w:szCs w:val="24"/>
        </w:rPr>
        <w:t>baik</w:t>
      </w:r>
      <w:r>
        <w:rPr>
          <w:rFonts w:ascii="Tw Cen MT" w:cs="Times New Roman" w:hAnsi="Tw Cen MT"/>
          <w:sz w:val="24"/>
          <w:szCs w:val="24"/>
        </w:rPr>
        <w:t xml:space="preserve"> (</w:t>
      </w:r>
      <w:r>
        <w:rPr>
          <w:rFonts w:ascii="Tw Cen MT" w:cs="Times New Roman" w:hAnsi="Tw Cen MT"/>
          <w:sz w:val="24"/>
          <w:szCs w:val="24"/>
        </w:rPr>
        <w:t>menggunakan</w:t>
      </w:r>
      <w:r>
        <w:rPr>
          <w:rFonts w:ascii="Tw Cen MT" w:cs="Times New Roman" w:hAnsi="Tw Cen MT"/>
          <w:sz w:val="24"/>
          <w:szCs w:val="24"/>
        </w:rPr>
        <w:t xml:space="preserve"> </w:t>
      </w:r>
      <w:r>
        <w:rPr>
          <w:rFonts w:ascii="Tw Cen MT" w:cs="Times New Roman" w:hAnsi="Tw Cen MT"/>
          <w:sz w:val="24"/>
          <w:szCs w:val="24"/>
        </w:rPr>
        <w:t>mekanisme</w:t>
      </w:r>
      <w:r>
        <w:rPr>
          <w:rFonts w:ascii="Tw Cen MT" w:cs="Times New Roman" w:hAnsi="Tw Cen MT"/>
          <w:sz w:val="24"/>
          <w:szCs w:val="24"/>
        </w:rPr>
        <w:t xml:space="preserve"> </w:t>
      </w:r>
      <w:r>
        <w:rPr>
          <w:rFonts w:ascii="Tw Cen MT" w:cs="Times New Roman" w:hAnsi="Tw Cen MT"/>
          <w:sz w:val="24"/>
          <w:szCs w:val="24"/>
        </w:rPr>
        <w:t>koping</w:t>
      </w:r>
      <w:r>
        <w:rPr>
          <w:rFonts w:ascii="Tw Cen MT" w:cs="Times New Roman" w:hAnsi="Tw Cen MT"/>
          <w:sz w:val="24"/>
          <w:szCs w:val="24"/>
        </w:rPr>
        <w:t xml:space="preserve"> </w:t>
      </w:r>
      <w:r>
        <w:rPr>
          <w:rFonts w:ascii="Tw Cen MT" w:cs="Times New Roman" w:hAnsi="Tw Cen MT"/>
          <w:sz w:val="24"/>
          <w:szCs w:val="24"/>
        </w:rPr>
        <w:t>positif</w:t>
      </w:r>
      <w:r>
        <w:rPr>
          <w:rFonts w:ascii="Tw Cen MT" w:cs="Times New Roman" w:hAnsi="Tw Cen MT"/>
          <w:sz w:val="24"/>
          <w:szCs w:val="24"/>
        </w:rPr>
        <w:t xml:space="preserve"> </w:t>
      </w:r>
      <w:r>
        <w:rPr>
          <w:rFonts w:ascii="Tw Cen MT" w:cs="Times New Roman" w:hAnsi="Tw Cen MT"/>
          <w:sz w:val="24"/>
          <w:szCs w:val="24"/>
        </w:rPr>
        <w:t>seperti</w:t>
      </w:r>
      <w:r>
        <w:rPr>
          <w:rFonts w:ascii="Tw Cen MT" w:cs="Times New Roman" w:hAnsi="Tw Cen MT"/>
          <w:sz w:val="24"/>
          <w:szCs w:val="24"/>
        </w:rPr>
        <w:t xml:space="preserve"> </w:t>
      </w:r>
      <w:r>
        <w:rPr>
          <w:rFonts w:ascii="Tw Cen MT" w:cs="Times New Roman" w:hAnsi="Tw Cen MT"/>
          <w:sz w:val="24"/>
          <w:szCs w:val="24"/>
        </w:rPr>
        <w:t>mencari</w:t>
      </w:r>
      <w:r>
        <w:rPr>
          <w:rFonts w:ascii="Tw Cen MT" w:cs="Times New Roman" w:hAnsi="Tw Cen MT"/>
          <w:sz w:val="24"/>
          <w:szCs w:val="24"/>
        </w:rPr>
        <w:t xml:space="preserve"> </w:t>
      </w:r>
      <w:r>
        <w:rPr>
          <w:rFonts w:ascii="Tw Cen MT" w:cs="Times New Roman" w:hAnsi="Tw Cen MT"/>
          <w:sz w:val="24"/>
          <w:szCs w:val="24"/>
        </w:rPr>
        <w:t>dukungan</w:t>
      </w:r>
      <w:r>
        <w:rPr>
          <w:rFonts w:ascii="Tw Cen MT" w:cs="Times New Roman" w:hAnsi="Tw Cen MT"/>
          <w:sz w:val="24"/>
          <w:szCs w:val="24"/>
        </w:rPr>
        <w:t xml:space="preserve"> </w:t>
      </w:r>
      <w:r>
        <w:rPr>
          <w:rFonts w:ascii="Tw Cen MT" w:cs="Times New Roman" w:hAnsi="Tw Cen MT"/>
          <w:sz w:val="24"/>
          <w:szCs w:val="24"/>
        </w:rPr>
        <w:t>sosial</w:t>
      </w:r>
      <w:r>
        <w:rPr>
          <w:rFonts w:ascii="Tw Cen MT" w:cs="Times New Roman" w:hAnsi="Tw Cen MT"/>
          <w:sz w:val="24"/>
          <w:szCs w:val="24"/>
        </w:rPr>
        <w:t xml:space="preserve">) </w:t>
      </w:r>
      <w:r>
        <w:rPr>
          <w:rFonts w:ascii="Tw Cen MT" w:cs="Times New Roman" w:hAnsi="Tw Cen MT"/>
          <w:sz w:val="24"/>
          <w:szCs w:val="24"/>
        </w:rPr>
        <w:t>lebih</w:t>
      </w:r>
      <w:r>
        <w:rPr>
          <w:rFonts w:ascii="Tw Cen MT" w:cs="Times New Roman" w:hAnsi="Tw Cen MT"/>
          <w:sz w:val="24"/>
          <w:szCs w:val="24"/>
        </w:rPr>
        <w:t xml:space="preserve"> </w:t>
      </w:r>
      <w:r>
        <w:rPr>
          <w:rFonts w:ascii="Tw Cen MT" w:cs="Times New Roman" w:hAnsi="Tw Cen MT"/>
          <w:sz w:val="24"/>
          <w:szCs w:val="24"/>
        </w:rPr>
        <w:t>mungkin</w:t>
      </w:r>
      <w:r>
        <w:rPr>
          <w:rFonts w:ascii="Tw Cen MT" w:cs="Times New Roman" w:hAnsi="Tw Cen MT"/>
          <w:sz w:val="24"/>
          <w:szCs w:val="24"/>
        </w:rPr>
        <w:t xml:space="preserve"> </w:t>
      </w:r>
      <w:r>
        <w:rPr>
          <w:rFonts w:ascii="Tw Cen MT" w:cs="Times New Roman" w:hAnsi="Tw Cen MT"/>
          <w:sz w:val="24"/>
          <w:szCs w:val="24"/>
        </w:rPr>
        <w:t>untuk</w:t>
      </w:r>
      <w:r>
        <w:rPr>
          <w:rFonts w:ascii="Tw Cen MT" w:cs="Times New Roman" w:hAnsi="Tw Cen MT"/>
          <w:sz w:val="24"/>
          <w:szCs w:val="24"/>
        </w:rPr>
        <w:t xml:space="preserve"> </w:t>
      </w:r>
      <w:r>
        <w:rPr>
          <w:rFonts w:ascii="Tw Cen MT" w:cs="Times New Roman" w:hAnsi="Tw Cen MT"/>
          <w:sz w:val="24"/>
          <w:szCs w:val="24"/>
        </w:rPr>
        <w:t>memberikan</w:t>
      </w:r>
      <w:r>
        <w:rPr>
          <w:rFonts w:ascii="Tw Cen MT" w:cs="Times New Roman" w:hAnsi="Tw Cen MT"/>
          <w:sz w:val="24"/>
          <w:szCs w:val="24"/>
        </w:rPr>
        <w:t xml:space="preserve"> </w:t>
      </w:r>
      <w:r>
        <w:rPr>
          <w:rFonts w:ascii="Tw Cen MT" w:cs="Times New Roman" w:hAnsi="Tw Cen MT"/>
          <w:sz w:val="24"/>
          <w:szCs w:val="24"/>
        </w:rPr>
        <w:t>perhatian</w:t>
      </w:r>
      <w:r>
        <w:rPr>
          <w:rFonts w:ascii="Tw Cen MT" w:cs="Times New Roman" w:hAnsi="Tw Cen MT"/>
          <w:sz w:val="24"/>
          <w:szCs w:val="24"/>
        </w:rPr>
        <w:t xml:space="preserve"> pada </w:t>
      </w:r>
      <w:r>
        <w:rPr>
          <w:rFonts w:ascii="Tw Cen MT" w:cs="Times New Roman" w:hAnsi="Tw Cen MT"/>
          <w:sz w:val="24"/>
          <w:szCs w:val="24"/>
        </w:rPr>
        <w:t>kesehatan</w:t>
      </w:r>
      <w:r>
        <w:rPr>
          <w:rFonts w:ascii="Tw Cen MT" w:cs="Times New Roman" w:hAnsi="Tw Cen MT"/>
          <w:sz w:val="24"/>
          <w:szCs w:val="24"/>
        </w:rPr>
        <w:t xml:space="preserve"> dan </w:t>
      </w:r>
      <w:r>
        <w:rPr>
          <w:rFonts w:ascii="Tw Cen MT" w:cs="Times New Roman" w:hAnsi="Tw Cen MT"/>
          <w:sz w:val="24"/>
          <w:szCs w:val="24"/>
        </w:rPr>
        <w:t>tumbuh</w:t>
      </w:r>
      <w:r>
        <w:rPr>
          <w:rFonts w:ascii="Tw Cen MT" w:cs="Times New Roman" w:hAnsi="Tw Cen MT"/>
          <w:sz w:val="24"/>
          <w:szCs w:val="24"/>
        </w:rPr>
        <w:t xml:space="preserve"> </w:t>
      </w:r>
      <w:r>
        <w:rPr>
          <w:rFonts w:ascii="Tw Cen MT" w:cs="Times New Roman" w:hAnsi="Tw Cen MT"/>
          <w:sz w:val="24"/>
          <w:szCs w:val="24"/>
        </w:rPr>
        <w:t>kembang</w:t>
      </w:r>
      <w:r>
        <w:rPr>
          <w:rFonts w:ascii="Tw Cen MT" w:cs="Times New Roman" w:hAnsi="Tw Cen MT"/>
          <w:sz w:val="24"/>
          <w:szCs w:val="24"/>
        </w:rPr>
        <w:t xml:space="preserve"> </w:t>
      </w:r>
      <w:r>
        <w:rPr>
          <w:rFonts w:ascii="Tw Cen MT" w:cs="Times New Roman" w:hAnsi="Tw Cen MT"/>
          <w:sz w:val="24"/>
          <w:szCs w:val="24"/>
        </w:rPr>
        <w:t>anak</w:t>
      </w:r>
      <w:r>
        <w:rPr>
          <w:rFonts w:ascii="Tw Cen MT" w:cs="Times New Roman" w:hAnsi="Tw Cen MT"/>
          <w:sz w:val="24"/>
          <w:szCs w:val="24"/>
        </w:rPr>
        <w:t xml:space="preserve">, </w:t>
      </w:r>
      <w:r>
        <w:rPr>
          <w:rFonts w:ascii="Tw Cen MT" w:cs="Times New Roman" w:hAnsi="Tw Cen MT"/>
          <w:sz w:val="24"/>
          <w:szCs w:val="24"/>
        </w:rPr>
        <w:t>termasuk</w:t>
      </w:r>
      <w:r>
        <w:rPr>
          <w:rFonts w:ascii="Tw Cen MT" w:cs="Times New Roman" w:hAnsi="Tw Cen MT"/>
          <w:sz w:val="24"/>
          <w:szCs w:val="24"/>
        </w:rPr>
        <w:t xml:space="preserve"> </w:t>
      </w:r>
      <w:r>
        <w:rPr>
          <w:rFonts w:ascii="Tw Cen MT" w:cs="Times New Roman" w:hAnsi="Tw Cen MT"/>
          <w:sz w:val="24"/>
          <w:szCs w:val="24"/>
        </w:rPr>
        <w:t>pemberian</w:t>
      </w:r>
      <w:r>
        <w:rPr>
          <w:rFonts w:ascii="Tw Cen MT" w:cs="Times New Roman" w:hAnsi="Tw Cen MT"/>
          <w:sz w:val="24"/>
          <w:szCs w:val="24"/>
        </w:rPr>
        <w:t xml:space="preserve"> ASI </w:t>
      </w:r>
      <w:r>
        <w:rPr>
          <w:rFonts w:ascii="Tw Cen MT" w:cs="Times New Roman" w:hAnsi="Tw Cen MT"/>
          <w:sz w:val="24"/>
          <w:szCs w:val="24"/>
        </w:rPr>
        <w:t>eksklusif</w:t>
      </w:r>
      <w:r>
        <w:rPr>
          <w:rFonts w:ascii="Tw Cen MT" w:cs="Times New Roman" w:hAnsi="Tw Cen MT"/>
          <w:sz w:val="24"/>
          <w:szCs w:val="24"/>
        </w:rPr>
        <w:t xml:space="preserve">, </w:t>
      </w:r>
      <w:r>
        <w:rPr>
          <w:rFonts w:ascii="Tw Cen MT" w:cs="Times New Roman" w:hAnsi="Tw Cen MT"/>
          <w:sz w:val="24"/>
          <w:szCs w:val="24"/>
        </w:rPr>
        <w:t>imunisasi</w:t>
      </w:r>
      <w:r>
        <w:rPr>
          <w:rFonts w:ascii="Tw Cen MT" w:cs="Times New Roman" w:hAnsi="Tw Cen MT"/>
          <w:sz w:val="24"/>
          <w:szCs w:val="24"/>
        </w:rPr>
        <w:t xml:space="preserve">, dan </w:t>
      </w:r>
      <w:r>
        <w:rPr>
          <w:rFonts w:ascii="Tw Cen MT" w:cs="Times New Roman" w:hAnsi="Tw Cen MT"/>
          <w:sz w:val="24"/>
          <w:szCs w:val="24"/>
        </w:rPr>
        <w:t>pola</w:t>
      </w:r>
      <w:r>
        <w:rPr>
          <w:rFonts w:ascii="Tw Cen MT" w:cs="Times New Roman" w:hAnsi="Tw Cen MT"/>
          <w:sz w:val="24"/>
          <w:szCs w:val="24"/>
        </w:rPr>
        <w:t xml:space="preserve"> </w:t>
      </w:r>
      <w:r>
        <w:rPr>
          <w:rFonts w:ascii="Tw Cen MT" w:cs="Times New Roman" w:hAnsi="Tw Cen MT"/>
          <w:sz w:val="24"/>
          <w:szCs w:val="24"/>
        </w:rPr>
        <w:t>makan</w:t>
      </w:r>
      <w:r>
        <w:rPr>
          <w:rFonts w:ascii="Tw Cen MT" w:cs="Times New Roman" w:hAnsi="Tw Cen MT"/>
          <w:sz w:val="24"/>
          <w:szCs w:val="24"/>
        </w:rPr>
        <w:t xml:space="preserve"> </w:t>
      </w:r>
      <w:r>
        <w:rPr>
          <w:rFonts w:ascii="Tw Cen MT" w:cs="Times New Roman" w:hAnsi="Tw Cen MT"/>
          <w:sz w:val="24"/>
          <w:szCs w:val="24"/>
        </w:rPr>
        <w:t>seimbang</w:t>
      </w:r>
      <w:r>
        <w:rPr>
          <w:rFonts w:ascii="Tw Cen MT" w:cs="Times New Roman" w:hAnsi="Tw Cen MT"/>
          <w:sz w:val="24"/>
          <w:szCs w:val="24"/>
        </w:rPr>
        <w:t xml:space="preserve">. </w:t>
      </w:r>
    </w:p>
    <w:p>
      <w:pPr>
        <w:pStyle w:val="style0"/>
        <w:spacing w:after="160" w:lineRule="auto" w:line="240"/>
        <w:jc w:val="both"/>
        <w:contextualSpacing/>
        <w:rPr>
          <w:rFonts w:ascii="Tw Cen MT" w:cs="Times New Roman" w:hAnsi="Tw Cen MT"/>
          <w:sz w:val="24"/>
          <w:szCs w:val="24"/>
        </w:rPr>
      </w:pPr>
      <w:r>
        <w:rPr>
          <w:rFonts w:ascii="Tw Cen MT" w:cs="Times New Roman" w:hAnsi="Tw Cen MT"/>
          <w:sz w:val="24"/>
          <w:szCs w:val="24"/>
        </w:rPr>
        <w:t xml:space="preserve">Dalam </w:t>
      </w:r>
      <w:r>
        <w:rPr>
          <w:rFonts w:ascii="Tw Cen MT" w:cs="Times New Roman" w:hAnsi="Tw Cen MT"/>
          <w:sz w:val="24"/>
          <w:szCs w:val="24"/>
        </w:rPr>
        <w:t>penelitian</w:t>
      </w:r>
      <w:r>
        <w:rPr>
          <w:rFonts w:ascii="Tw Cen MT" w:cs="Times New Roman" w:hAnsi="Tw Cen MT"/>
          <w:sz w:val="24"/>
          <w:szCs w:val="24"/>
        </w:rPr>
        <w:t xml:space="preserve"> </w:t>
      </w:r>
      <w:r>
        <w:rPr>
          <w:rFonts w:ascii="Tw Cen MT" w:cs="Times New Roman" w:hAnsi="Tw Cen MT"/>
          <w:sz w:val="24"/>
          <w:szCs w:val="24"/>
        </w:rPr>
        <w:t>ini</w:t>
      </w:r>
      <w:r>
        <w:rPr>
          <w:rFonts w:ascii="Tw Cen MT" w:cs="Times New Roman" w:hAnsi="Tw Cen MT"/>
          <w:sz w:val="24"/>
          <w:szCs w:val="24"/>
        </w:rPr>
        <w:t xml:space="preserve">, </w:t>
      </w:r>
      <w:r>
        <w:rPr>
          <w:rFonts w:ascii="Tw Cen MT" w:cs="Times New Roman" w:hAnsi="Tw Cen MT"/>
          <w:sz w:val="24"/>
          <w:szCs w:val="24"/>
        </w:rPr>
        <w:t>mekanisme</w:t>
      </w:r>
      <w:r>
        <w:rPr>
          <w:rFonts w:ascii="Tw Cen MT" w:cs="Times New Roman" w:hAnsi="Tw Cen MT"/>
          <w:sz w:val="24"/>
          <w:szCs w:val="24"/>
        </w:rPr>
        <w:t xml:space="preserve"> </w:t>
      </w:r>
      <w:r>
        <w:rPr>
          <w:rFonts w:ascii="Tw Cen MT" w:cs="Times New Roman" w:hAnsi="Tw Cen MT"/>
          <w:sz w:val="24"/>
          <w:szCs w:val="24"/>
        </w:rPr>
        <w:t>koping</w:t>
      </w:r>
      <w:r>
        <w:rPr>
          <w:rFonts w:ascii="Tw Cen MT" w:cs="Times New Roman" w:hAnsi="Tw Cen MT"/>
          <w:sz w:val="24"/>
          <w:szCs w:val="24"/>
        </w:rPr>
        <w:t xml:space="preserve"> </w:t>
      </w:r>
      <w:r>
        <w:rPr>
          <w:rFonts w:ascii="Tw Cen MT" w:cs="Times New Roman" w:hAnsi="Tw Cen MT"/>
          <w:sz w:val="24"/>
          <w:szCs w:val="24"/>
        </w:rPr>
        <w:t>keluarga</w:t>
      </w:r>
      <w:r>
        <w:rPr>
          <w:rFonts w:ascii="Tw Cen MT" w:cs="Times New Roman" w:hAnsi="Tw Cen MT"/>
          <w:sz w:val="24"/>
          <w:szCs w:val="24"/>
        </w:rPr>
        <w:t xml:space="preserve"> </w:t>
      </w:r>
      <w:r>
        <w:rPr>
          <w:rFonts w:ascii="Tw Cen MT" w:cs="Times New Roman" w:hAnsi="Tw Cen MT"/>
          <w:sz w:val="24"/>
          <w:szCs w:val="24"/>
        </w:rPr>
        <w:t>mungkin</w:t>
      </w:r>
      <w:r>
        <w:rPr>
          <w:rFonts w:ascii="Tw Cen MT" w:cs="Times New Roman" w:hAnsi="Tw Cen MT"/>
          <w:sz w:val="24"/>
          <w:szCs w:val="24"/>
        </w:rPr>
        <w:t xml:space="preserve"> </w:t>
      </w:r>
      <w:r>
        <w:rPr>
          <w:rFonts w:ascii="Tw Cen MT" w:cs="Times New Roman" w:hAnsi="Tw Cen MT"/>
          <w:sz w:val="24"/>
          <w:szCs w:val="24"/>
        </w:rPr>
        <w:t>tidak</w:t>
      </w:r>
      <w:r>
        <w:rPr>
          <w:rFonts w:ascii="Tw Cen MT" w:cs="Times New Roman" w:hAnsi="Tw Cen MT"/>
          <w:sz w:val="24"/>
          <w:szCs w:val="24"/>
        </w:rPr>
        <w:t xml:space="preserve"> </w:t>
      </w:r>
      <w:r>
        <w:rPr>
          <w:rFonts w:ascii="Tw Cen MT" w:cs="Times New Roman" w:hAnsi="Tw Cen MT"/>
          <w:sz w:val="24"/>
          <w:szCs w:val="24"/>
        </w:rPr>
        <w:t>memiliki</w:t>
      </w:r>
      <w:r>
        <w:rPr>
          <w:rFonts w:ascii="Tw Cen MT" w:cs="Times New Roman" w:hAnsi="Tw Cen MT"/>
          <w:sz w:val="24"/>
          <w:szCs w:val="24"/>
        </w:rPr>
        <w:t xml:space="preserve"> </w:t>
      </w:r>
      <w:r>
        <w:rPr>
          <w:rFonts w:ascii="Tw Cen MT" w:cs="Times New Roman" w:hAnsi="Tw Cen MT"/>
          <w:sz w:val="24"/>
          <w:szCs w:val="24"/>
        </w:rPr>
        <w:t>peran</w:t>
      </w:r>
      <w:r>
        <w:rPr>
          <w:rFonts w:ascii="Tw Cen MT" w:cs="Times New Roman" w:hAnsi="Tw Cen MT"/>
          <w:sz w:val="24"/>
          <w:szCs w:val="24"/>
        </w:rPr>
        <w:t xml:space="preserve"> </w:t>
      </w:r>
      <w:r>
        <w:rPr>
          <w:rFonts w:ascii="Tw Cen MT" w:cs="Times New Roman" w:hAnsi="Tw Cen MT"/>
          <w:sz w:val="24"/>
          <w:szCs w:val="24"/>
        </w:rPr>
        <w:t>langsung</w:t>
      </w:r>
      <w:r>
        <w:rPr>
          <w:rFonts w:ascii="Tw Cen MT" w:cs="Times New Roman" w:hAnsi="Tw Cen MT"/>
          <w:sz w:val="24"/>
          <w:szCs w:val="24"/>
        </w:rPr>
        <w:t xml:space="preserve"> </w:t>
      </w:r>
      <w:r>
        <w:rPr>
          <w:rFonts w:ascii="Tw Cen MT" w:cs="Times New Roman" w:hAnsi="Tw Cen MT"/>
          <w:sz w:val="24"/>
          <w:szCs w:val="24"/>
        </w:rPr>
        <w:t>terhadap</w:t>
      </w:r>
      <w:r>
        <w:rPr>
          <w:rFonts w:ascii="Tw Cen MT" w:cs="Times New Roman" w:hAnsi="Tw Cen MT"/>
          <w:sz w:val="24"/>
          <w:szCs w:val="24"/>
        </w:rPr>
        <w:t xml:space="preserve"> </w:t>
      </w:r>
      <w:r>
        <w:rPr>
          <w:rFonts w:ascii="Tw Cen MT" w:cs="Times New Roman" w:hAnsi="Tw Cen MT"/>
          <w:sz w:val="24"/>
          <w:szCs w:val="24"/>
        </w:rPr>
        <w:t>kejadian</w:t>
      </w:r>
      <w:r>
        <w:rPr>
          <w:rFonts w:ascii="Tw Cen MT" w:cs="Times New Roman" w:hAnsi="Tw Cen MT"/>
          <w:sz w:val="24"/>
          <w:szCs w:val="24"/>
        </w:rPr>
        <w:t xml:space="preserve"> stunting. Ini </w:t>
      </w:r>
      <w:r>
        <w:rPr>
          <w:rFonts w:ascii="Tw Cen MT" w:cs="Times New Roman" w:hAnsi="Tw Cen MT"/>
          <w:sz w:val="24"/>
          <w:szCs w:val="24"/>
        </w:rPr>
        <w:t>bisa</w:t>
      </w:r>
      <w:r>
        <w:rPr>
          <w:rFonts w:ascii="Tw Cen MT" w:cs="Times New Roman" w:hAnsi="Tw Cen MT"/>
          <w:sz w:val="24"/>
          <w:szCs w:val="24"/>
        </w:rPr>
        <w:t xml:space="preserve"> </w:t>
      </w:r>
      <w:r>
        <w:rPr>
          <w:rFonts w:ascii="Tw Cen MT" w:cs="Times New Roman" w:hAnsi="Tw Cen MT"/>
          <w:sz w:val="24"/>
          <w:szCs w:val="24"/>
        </w:rPr>
        <w:t>disebabkan</w:t>
      </w:r>
      <w:r>
        <w:rPr>
          <w:rFonts w:ascii="Tw Cen MT" w:cs="Times New Roman" w:hAnsi="Tw Cen MT"/>
          <w:sz w:val="24"/>
          <w:szCs w:val="24"/>
        </w:rPr>
        <w:t xml:space="preserve"> </w:t>
      </w:r>
      <w:r>
        <w:rPr>
          <w:rFonts w:ascii="Tw Cen MT" w:cs="Times New Roman" w:hAnsi="Tw Cen MT"/>
          <w:sz w:val="24"/>
          <w:szCs w:val="24"/>
        </w:rPr>
        <w:t>karena</w:t>
      </w:r>
      <w:r>
        <w:rPr>
          <w:rFonts w:ascii="Tw Cen MT" w:cs="Times New Roman" w:hAnsi="Tw Cen MT"/>
          <w:sz w:val="24"/>
          <w:szCs w:val="24"/>
        </w:rPr>
        <w:t xml:space="preserve"> stunting </w:t>
      </w:r>
      <w:r>
        <w:rPr>
          <w:rFonts w:ascii="Tw Cen MT" w:cs="Times New Roman" w:hAnsi="Tw Cen MT"/>
          <w:sz w:val="24"/>
          <w:szCs w:val="24"/>
        </w:rPr>
        <w:t>lebih</w:t>
      </w:r>
      <w:r>
        <w:rPr>
          <w:rFonts w:ascii="Tw Cen MT" w:cs="Times New Roman" w:hAnsi="Tw Cen MT"/>
          <w:sz w:val="24"/>
          <w:szCs w:val="24"/>
        </w:rPr>
        <w:t xml:space="preserve"> </w:t>
      </w:r>
      <w:r>
        <w:rPr>
          <w:rFonts w:ascii="Tw Cen MT" w:cs="Times New Roman" w:hAnsi="Tw Cen MT"/>
          <w:sz w:val="24"/>
          <w:szCs w:val="24"/>
        </w:rPr>
        <w:t>dipengaruhi</w:t>
      </w:r>
      <w:r>
        <w:rPr>
          <w:rFonts w:ascii="Tw Cen MT" w:cs="Times New Roman" w:hAnsi="Tw Cen MT"/>
          <w:sz w:val="24"/>
          <w:szCs w:val="24"/>
        </w:rPr>
        <w:t xml:space="preserve"> oleh </w:t>
      </w:r>
      <w:r>
        <w:rPr>
          <w:rFonts w:ascii="Tw Cen MT" w:cs="Times New Roman" w:hAnsi="Tw Cen MT"/>
          <w:sz w:val="24"/>
          <w:szCs w:val="24"/>
        </w:rPr>
        <w:t>faktor</w:t>
      </w:r>
      <w:r>
        <w:rPr>
          <w:rFonts w:ascii="Tw Cen MT" w:cs="Times New Roman" w:hAnsi="Tw Cen MT"/>
          <w:sz w:val="24"/>
          <w:szCs w:val="24"/>
        </w:rPr>
        <w:t xml:space="preserve"> lain yang </w:t>
      </w:r>
      <w:r>
        <w:rPr>
          <w:rFonts w:ascii="Tw Cen MT" w:cs="Times New Roman" w:hAnsi="Tw Cen MT"/>
          <w:sz w:val="24"/>
          <w:szCs w:val="24"/>
        </w:rPr>
        <w:t>lebih</w:t>
      </w:r>
      <w:r>
        <w:rPr>
          <w:rFonts w:ascii="Tw Cen MT" w:cs="Times New Roman" w:hAnsi="Tw Cen MT"/>
          <w:sz w:val="24"/>
          <w:szCs w:val="24"/>
        </w:rPr>
        <w:t xml:space="preserve"> </w:t>
      </w:r>
      <w:r>
        <w:rPr>
          <w:rFonts w:ascii="Tw Cen MT" w:cs="Times New Roman" w:hAnsi="Tw Cen MT"/>
          <w:sz w:val="24"/>
          <w:szCs w:val="24"/>
        </w:rPr>
        <w:t>signifikan</w:t>
      </w:r>
      <w:r>
        <w:rPr>
          <w:rFonts w:ascii="Tw Cen MT" w:cs="Times New Roman" w:hAnsi="Tw Cen MT"/>
          <w:sz w:val="24"/>
          <w:szCs w:val="24"/>
        </w:rPr>
        <w:t xml:space="preserve">, </w:t>
      </w:r>
      <w:r>
        <w:rPr>
          <w:rFonts w:ascii="Tw Cen MT" w:cs="Times New Roman" w:hAnsi="Tw Cen MT"/>
          <w:sz w:val="24"/>
          <w:szCs w:val="24"/>
        </w:rPr>
        <w:t>seperti</w:t>
      </w:r>
      <w:r>
        <w:rPr>
          <w:rFonts w:ascii="Tw Cen MT" w:cs="Times New Roman" w:hAnsi="Tw Cen MT"/>
          <w:sz w:val="24"/>
          <w:szCs w:val="24"/>
        </w:rPr>
        <w:t xml:space="preserve"> </w:t>
      </w:r>
      <w:r>
        <w:rPr>
          <w:rFonts w:ascii="Tw Cen MT" w:cs="Times New Roman" w:hAnsi="Tw Cen MT"/>
          <w:sz w:val="24"/>
          <w:szCs w:val="24"/>
        </w:rPr>
        <w:t>pola</w:t>
      </w:r>
      <w:r>
        <w:rPr>
          <w:rFonts w:ascii="Tw Cen MT" w:cs="Times New Roman" w:hAnsi="Tw Cen MT"/>
          <w:sz w:val="24"/>
          <w:szCs w:val="24"/>
        </w:rPr>
        <w:t xml:space="preserve"> </w:t>
      </w:r>
      <w:r>
        <w:rPr>
          <w:rFonts w:ascii="Tw Cen MT" w:cs="Times New Roman" w:hAnsi="Tw Cen MT"/>
          <w:sz w:val="24"/>
          <w:szCs w:val="24"/>
        </w:rPr>
        <w:t>asuh</w:t>
      </w:r>
      <w:r>
        <w:rPr>
          <w:rFonts w:ascii="Tw Cen MT" w:cs="Times New Roman" w:hAnsi="Tw Cen MT"/>
          <w:sz w:val="24"/>
          <w:szCs w:val="24"/>
        </w:rPr>
        <w:t xml:space="preserve">, </w:t>
      </w:r>
      <w:r>
        <w:rPr>
          <w:rFonts w:ascii="Tw Cen MT" w:cs="Times New Roman" w:hAnsi="Tw Cen MT"/>
          <w:sz w:val="24"/>
          <w:szCs w:val="24"/>
        </w:rPr>
        <w:t>asupan</w:t>
      </w:r>
      <w:r>
        <w:rPr>
          <w:rFonts w:ascii="Tw Cen MT" w:cs="Times New Roman" w:hAnsi="Tw Cen MT"/>
          <w:sz w:val="24"/>
          <w:szCs w:val="24"/>
        </w:rPr>
        <w:t xml:space="preserve"> </w:t>
      </w:r>
      <w:r>
        <w:rPr>
          <w:rFonts w:ascii="Tw Cen MT" w:cs="Times New Roman" w:hAnsi="Tw Cen MT"/>
          <w:sz w:val="24"/>
          <w:szCs w:val="24"/>
        </w:rPr>
        <w:t>gizi</w:t>
      </w:r>
      <w:r>
        <w:rPr>
          <w:rFonts w:ascii="Tw Cen MT" w:cs="Times New Roman" w:hAnsi="Tw Cen MT"/>
          <w:sz w:val="24"/>
          <w:szCs w:val="24"/>
        </w:rPr>
        <w:t xml:space="preserve">, </w:t>
      </w:r>
      <w:r>
        <w:rPr>
          <w:rFonts w:ascii="Tw Cen MT" w:cs="Times New Roman" w:hAnsi="Tw Cen MT"/>
          <w:sz w:val="24"/>
          <w:szCs w:val="24"/>
        </w:rPr>
        <w:t>akses</w:t>
      </w:r>
      <w:r>
        <w:rPr>
          <w:rFonts w:ascii="Tw Cen MT" w:cs="Times New Roman" w:hAnsi="Tw Cen MT"/>
          <w:sz w:val="24"/>
          <w:szCs w:val="24"/>
        </w:rPr>
        <w:t xml:space="preserve"> </w:t>
      </w:r>
      <w:r>
        <w:rPr>
          <w:rFonts w:ascii="Tw Cen MT" w:cs="Times New Roman" w:hAnsi="Tw Cen MT"/>
          <w:sz w:val="24"/>
          <w:szCs w:val="24"/>
        </w:rPr>
        <w:t>layanan</w:t>
      </w:r>
      <w:r>
        <w:rPr>
          <w:rFonts w:ascii="Tw Cen MT" w:cs="Times New Roman" w:hAnsi="Tw Cen MT"/>
          <w:sz w:val="24"/>
          <w:szCs w:val="24"/>
        </w:rPr>
        <w:t xml:space="preserve"> </w:t>
      </w:r>
      <w:r>
        <w:rPr>
          <w:rFonts w:ascii="Tw Cen MT" w:cs="Times New Roman" w:hAnsi="Tw Cen MT"/>
          <w:sz w:val="24"/>
          <w:szCs w:val="24"/>
        </w:rPr>
        <w:t>kesehatan</w:t>
      </w:r>
      <w:r>
        <w:rPr>
          <w:rFonts w:ascii="Tw Cen MT" w:cs="Times New Roman" w:hAnsi="Tw Cen MT"/>
          <w:sz w:val="24"/>
          <w:szCs w:val="24"/>
        </w:rPr>
        <w:t xml:space="preserve">, dan status </w:t>
      </w:r>
      <w:r>
        <w:rPr>
          <w:rFonts w:ascii="Tw Cen MT" w:cs="Times New Roman" w:hAnsi="Tw Cen MT"/>
          <w:sz w:val="24"/>
          <w:szCs w:val="24"/>
        </w:rPr>
        <w:t>ekonomi</w:t>
      </w:r>
      <w:r>
        <w:rPr>
          <w:rFonts w:ascii="Tw Cen MT" w:cs="Times New Roman" w:hAnsi="Tw Cen MT"/>
          <w:sz w:val="24"/>
          <w:szCs w:val="24"/>
        </w:rPr>
        <w:t xml:space="preserve"> </w:t>
      </w:r>
      <w:r>
        <w:rPr>
          <w:rFonts w:ascii="Tw Cen MT" w:cs="Times New Roman" w:hAnsi="Tw Cen MT"/>
          <w:sz w:val="24"/>
          <w:szCs w:val="24"/>
        </w:rPr>
        <w:t>keluarga.</w:t>
      </w:r>
      <w:r>
        <w:rPr>
          <w:rFonts w:ascii="Tw Cen MT" w:cs="Times New Roman" w:hAnsi="Tw Cen MT"/>
          <w:sz w:val="24"/>
          <w:szCs w:val="24"/>
        </w:rPr>
        <w:t>Faktor</w:t>
      </w:r>
      <w:r>
        <w:rPr>
          <w:rFonts w:ascii="Tw Cen MT" w:cs="Times New Roman" w:hAnsi="Tw Cen MT"/>
          <w:sz w:val="24"/>
          <w:szCs w:val="24"/>
        </w:rPr>
        <w:t xml:space="preserve"> </w:t>
      </w:r>
      <w:r>
        <w:rPr>
          <w:rFonts w:ascii="Tw Cen MT" w:cs="Times New Roman" w:hAnsi="Tw Cen MT"/>
          <w:sz w:val="24"/>
          <w:szCs w:val="24"/>
        </w:rPr>
        <w:t>Dominan</w:t>
      </w:r>
      <w:r>
        <w:rPr>
          <w:rFonts w:ascii="Tw Cen MT" w:cs="Times New Roman" w:hAnsi="Tw Cen MT"/>
          <w:sz w:val="24"/>
          <w:szCs w:val="24"/>
        </w:rPr>
        <w:t xml:space="preserve"> </w:t>
      </w:r>
      <w:r>
        <w:rPr>
          <w:rFonts w:ascii="Tw Cen MT" w:cs="Times New Roman" w:hAnsi="Tw Cen MT"/>
          <w:sz w:val="24"/>
          <w:szCs w:val="24"/>
        </w:rPr>
        <w:t>dalam</w:t>
      </w:r>
      <w:r>
        <w:rPr>
          <w:rFonts w:ascii="Tw Cen MT" w:cs="Times New Roman" w:hAnsi="Tw Cen MT"/>
          <w:sz w:val="24"/>
          <w:szCs w:val="24"/>
        </w:rPr>
        <w:t xml:space="preserve"> </w:t>
      </w:r>
      <w:r>
        <w:rPr>
          <w:rFonts w:ascii="Tw Cen MT" w:cs="Times New Roman" w:hAnsi="Tw Cen MT"/>
          <w:sz w:val="24"/>
          <w:szCs w:val="24"/>
        </w:rPr>
        <w:t>Kejadian</w:t>
      </w:r>
      <w:r>
        <w:rPr>
          <w:rFonts w:ascii="Tw Cen MT" w:cs="Times New Roman" w:hAnsi="Tw Cen MT"/>
          <w:sz w:val="24"/>
          <w:szCs w:val="24"/>
        </w:rPr>
        <w:t xml:space="preserve"> Stunting</w:t>
      </w:r>
      <w:r>
        <w:rPr>
          <w:rFonts w:ascii="Tw Cen MT" w:cs="Times New Roman" w:hAnsi="Tw Cen MT"/>
          <w:sz w:val="24"/>
          <w:szCs w:val="24"/>
        </w:rPr>
        <w:t xml:space="preserve"> </w:t>
      </w:r>
      <w:r>
        <w:rPr>
          <w:rFonts w:ascii="Tw Cen MT" w:cs="Times New Roman" w:hAnsi="Tw Cen MT"/>
          <w:sz w:val="24"/>
          <w:szCs w:val="24"/>
        </w:rPr>
        <w:t>menurut</w:t>
      </w:r>
      <w:r>
        <w:rPr>
          <w:rFonts w:ascii="Tw Cen MT" w:cs="Times New Roman" w:hAnsi="Tw Cen MT"/>
          <w:sz w:val="24"/>
          <w:szCs w:val="24"/>
        </w:rPr>
        <w:t xml:space="preserve"> </w:t>
      </w:r>
      <w:r>
        <w:rPr>
          <w:rFonts w:ascii="Tw Cen MT" w:cs="Times New Roman" w:hAnsi="Tw Cen MT"/>
          <w:sz w:val="24"/>
          <w:szCs w:val="24"/>
        </w:rPr>
        <w:t>penelitian</w:t>
      </w:r>
      <w:r>
        <w:rPr>
          <w:rFonts w:ascii="Tw Cen MT" w:cs="Times New Roman" w:hAnsi="Tw Cen MT"/>
          <w:sz w:val="24"/>
          <w:szCs w:val="24"/>
        </w:rPr>
        <w:t xml:space="preserve"> </w:t>
      </w:r>
      <w:r>
        <w:rPr>
          <w:rFonts w:ascii="Tw Cen MT" w:cs="Times New Roman" w:hAnsi="Tw Cen MT"/>
          <w:sz w:val="24"/>
          <w:szCs w:val="24"/>
        </w:rPr>
        <w:fldChar w:fldCharType="begin"/>
      </w:r>
      <w:r>
        <w:rPr>
          <w:rFonts w:ascii="Tw Cen MT" w:cs="Times New Roman" w:hAnsi="Tw Cen MT"/>
          <w:sz w:val="24"/>
          <w:szCs w:val="24"/>
        </w:rPr>
        <w:instrText>ADDIN CSL_CITATION {"citationItems":[{"id":"ITEM-1","itemData":{"DOI":"10.1371/journal.pone.0260265","ISSN":"1932-6203 (Electronic)","PMID":"34797892","abstract":"BACKGROUND: Stunting is still a major public health problem in low- and  middle-income countries, including Indonesia. Previous studies have reported the complexities associated with understanding the determinants of stunting. This study aimed to examine the household-, subdistrict- and province-level determinants of stunting in Indonesia using a multilevel hierarchical mixed effects model. METHODS: We analyzed data for 8045 children taken from the 2007 and 2014 waves of the Indonesian Family and Life Surveys (IFLS). We included individual-, family-/household- and community-level variables in the analyses. A multilevel mixed effects model was employed to take into account the hierarchical structure of the data. Moreover, the model captured the effect of unobserved household-, subdistrict- and province-level characteristics on the probability of children being stunted. RESULTS: Our findings showed that the odds of childhood stunting vary significantly not only by individual child- and household-level characteristics but also by province- and subdistrict-level characteristics. Among the child-level covariates included in our model, dietary habits, neonatal weight, a history of infection, and sex significantly affected the risk of stunting. Household wealth status and parental education are significant household-level covariates associated with a higher risk of stunting. Finally, the risk of stunting is higher for children living in communities without access to water, sanitation and hygiene. CONCLUSIONS: Stunting is associated with not only child-level characteristics but also family- and community-level characteristics. Hence, interventions to reduce stunting should also take into account family and community characteristics to achieve effective outcomes.","author":[{"dropping-particle":"","family":"Mulyaningsih","given":"Tri","non-dropping-particle":"","parse-names":false,"suffix":""},{"dropping-particle":"","family":"Mohanty","given":"Itismita","non-dropping-particle":"","parse-names":false,"suffix":""},{"dropping-particle":"","family":"Widyaningsih","given":"Vitri","non-dropping-particle":"","parse-names":false,"suffix":""},{"dropping-particle":"","family":"Gebremedhin","given":"Tesfaye Alemayehu","non-dropping-particle":"","parse-names":false,"suffix":""},{"dropping-particle":"","family":"Miranti","given":"Riyana","non-dropping-particle":"","parse-names":false,"suffix":""},{"dropping-particle":"","family":"Wiyono","given":"Vincent Hadi","non-dropping-particle":"","parse-names":false,"suffix":""}],"container-title":"PloS one","id":"ITEM-1","issue":"11","issued":{"date-parts":[["2021"]]},"language":"eng","page":"e0260265","publisher-place":"United States","title":"Beyond personal factors: Multilevel determinants of childhood stunting in  Indonesia.","type":"article-journal","volume":"16"},"uris":["http://www.mendeley.com/documents/?uuid=23bbdbdf-5afa-4486-a4e8-751f83f23ff7"]}],"mendeley":{"formattedCitation":"(Mulyaningsih et al. 2021)","plainTextFormattedCitation":"(Mulyaningsih et al. 2021)","previouslyFormattedCitation":"(Mulyaningsih et al. 2021)"},"properties":{"noteIndex":0},"schema":"https://github.com/citation-style-language/schema/raw/master/csl-citation.json"}</w:instrText>
      </w:r>
      <w:r>
        <w:rPr>
          <w:rFonts w:ascii="Tw Cen MT" w:cs="Times New Roman" w:hAnsi="Tw Cen MT"/>
          <w:sz w:val="24"/>
          <w:szCs w:val="24"/>
        </w:rPr>
        <w:fldChar w:fldCharType="separate"/>
      </w:r>
      <w:r>
        <w:rPr>
          <w:rFonts w:ascii="Tw Cen MT" w:cs="Times New Roman" w:hAnsi="Tw Cen MT"/>
          <w:noProof/>
          <w:sz w:val="24"/>
          <w:szCs w:val="24"/>
        </w:rPr>
        <w:t>(Mulyaningsih et al. 2021)</w:t>
      </w:r>
      <w:r>
        <w:rPr>
          <w:rFonts w:ascii="Tw Cen MT" w:cs="Times New Roman" w:hAnsi="Tw Cen MT"/>
          <w:sz w:val="24"/>
          <w:szCs w:val="24"/>
        </w:rPr>
        <w:fldChar w:fldCharType="end"/>
      </w:r>
      <w:r>
        <w:rPr>
          <w:rFonts w:ascii="Tw Cen MT" w:cs="Times New Roman" w:hAnsi="Tw Cen MT"/>
          <w:sz w:val="24"/>
          <w:szCs w:val="24"/>
        </w:rPr>
        <w:fldChar w:fldCharType="begin"/>
      </w:r>
      <w:r>
        <w:rPr>
          <w:rFonts w:ascii="Tw Cen MT" w:cs="Times New Roman" w:hAnsi="Tw Cen MT"/>
          <w:sz w:val="24"/>
          <w:szCs w:val="24"/>
        </w:rPr>
        <w:instrText>ADDIN CSL_CITATION {"citationItems":[{"id":"ITEM-1","itemData":{"DOI":"10.1136/bmjopen-2021-052267","ISSN":"2044-6055 (Electronic)","PMID":"34930735","abstract":"OBJECTIVE: This study investigated the risk factors associated with the  coexistence of stunting, underweight, and wasting among children under age 5 in sub-Saharan Africa (SSA). DESIGN: Data of 127,</w:instrText>
      </w:r>
      <w:r>
        <w:rPr>
          <w:rFonts w:ascii="Arial" w:cs="Arial" w:hAnsi="Arial"/>
          <w:sz w:val="24"/>
          <w:szCs w:val="24"/>
        </w:rPr>
        <w:instrText> </w:instrText>
      </w:r>
      <w:r>
        <w:rPr>
          <w:rFonts w:ascii="Tw Cen MT" w:cs="Times New Roman" w:hAnsi="Tw Cen MT"/>
          <w:sz w:val="24"/>
          <w:szCs w:val="24"/>
        </w:rPr>
        <w:instrText>487 under-5 children from 31 countries in SSA were pooled from the Demographic and Health Surveys collected between 2010 and 2019. We examined the risk of coexistence of stunting, underweight, and wasting using multinomial logistic regression models. The results were presented using relative risk ratios (RRR) with corresponding confidence intervals (CIs). SETTING: Thirty-one sub-Saharan African countries. PARTICIPANTS: Children under age 5. OUTCOME MEASURES: The outcome variables were three child anthropometrics: stunting (height-for-age z-scores); underweight (weight-for-age z-scores) and wasting (weight-for-height z-scores). RESULTS: The prevalence of coexistence of stunting, underweight, and wasting varied across countries, with the highest (12.14%) and lowest (0.58%) prevalences of coexistence of stunting, underweight and wasting in Benin and Gambia respectively. The risk of coexistence of the three indicators of undernutrition was higher among children aged 1</w:instrText>
      </w:r>
      <w:r>
        <w:rPr>
          <w:rFonts w:ascii="Arial" w:cs="Arial" w:hAnsi="Arial"/>
          <w:sz w:val="24"/>
          <w:szCs w:val="24"/>
        </w:rPr>
        <w:instrText> </w:instrText>
      </w:r>
      <w:r>
        <w:rPr>
          <w:rFonts w:ascii="Tw Cen MT" w:cs="Times New Roman" w:hAnsi="Tw Cen MT"/>
          <w:sz w:val="24"/>
          <w:szCs w:val="24"/>
        </w:rPr>
        <w:instrText>year (RRR=3.714; 95%</w:instrText>
      </w:r>
      <w:r>
        <w:rPr>
          <w:rFonts w:ascii="Arial" w:cs="Arial" w:hAnsi="Arial"/>
          <w:sz w:val="24"/>
          <w:szCs w:val="24"/>
        </w:rPr>
        <w:instrText> </w:instrText>
      </w:r>
      <w:r>
        <w:rPr>
          <w:rFonts w:ascii="Tw Cen MT" w:cs="Times New Roman" w:hAnsi="Tw Cen MT"/>
          <w:sz w:val="24"/>
          <w:szCs w:val="24"/>
        </w:rPr>
        <w:instrText>CI 3.319 to 4.156) compared with those aged 0. The risk of coexistence of the three dimensions was lower among female children (RRR=0.468 95%</w:instrText>
      </w:r>
      <w:r>
        <w:rPr>
          <w:rFonts w:ascii="Arial" w:cs="Arial" w:hAnsi="Arial"/>
          <w:sz w:val="24"/>
          <w:szCs w:val="24"/>
        </w:rPr>
        <w:instrText> </w:instrText>
      </w:r>
      <w:r>
        <w:rPr>
          <w:rFonts w:ascii="Tw Cen MT" w:cs="Times New Roman" w:hAnsi="Tw Cen MT"/>
          <w:sz w:val="24"/>
          <w:szCs w:val="24"/>
        </w:rPr>
        <w:instrText>CI 0.420 to 0.51), but higher for those with small size at birth (RRR=3.818; CI 3.383 to 4.308), those whose mothers had no education (RRR=3.291; 95%</w:instrText>
      </w:r>
      <w:r>
        <w:rPr>
          <w:rFonts w:ascii="Arial" w:cs="Arial" w:hAnsi="Arial"/>
          <w:sz w:val="24"/>
          <w:szCs w:val="24"/>
        </w:rPr>
        <w:instrText> </w:instrText>
      </w:r>
      <w:r>
        <w:rPr>
          <w:rFonts w:ascii="Tw Cen MT" w:cs="Times New Roman" w:hAnsi="Tw Cen MT"/>
          <w:sz w:val="24"/>
          <w:szCs w:val="24"/>
        </w:rPr>
        <w:instrText>CI 1.961 to 5.522), not working (RRR=1.195; 95%</w:instrText>
      </w:r>
      <w:r>
        <w:rPr>
          <w:rFonts w:ascii="Arial" w:cs="Arial" w:hAnsi="Arial"/>
          <w:sz w:val="24"/>
          <w:szCs w:val="24"/>
        </w:rPr>
        <w:instrText> </w:instrText>
      </w:r>
      <w:r>
        <w:rPr>
          <w:rFonts w:ascii="Tw Cen MT" w:cs="Times New Roman" w:hAnsi="Tw Cen MT"/>
          <w:sz w:val="24"/>
          <w:szCs w:val="24"/>
        </w:rPr>
        <w:instrText>CI 1.086 to 1.314), had no antenatal visits during pregnancy (RRR=1.364; 95%</w:instrText>
      </w:r>
      <w:r>
        <w:rPr>
          <w:rFonts w:ascii="Arial" w:cs="Arial" w:hAnsi="Arial"/>
          <w:sz w:val="24"/>
          <w:szCs w:val="24"/>
        </w:rPr>
        <w:instrText> </w:instrText>
      </w:r>
      <w:r>
        <w:rPr>
          <w:rFonts w:ascii="Tw Cen MT" w:cs="Times New Roman" w:hAnsi="Tw Cen MT"/>
          <w:sz w:val="24"/>
          <w:szCs w:val="24"/>
        </w:rPr>
        <w:instrText>CI 1.20 to 1.541), children delivered at home (RRR=1.372; CI 1.232 to 1.529), those from poor households (RRR=1.408; 95%</w:instrText>
      </w:r>
      <w:r>
        <w:rPr>
          <w:rFonts w:ascii="Arial" w:cs="Arial" w:hAnsi="Arial"/>
          <w:sz w:val="24"/>
          <w:szCs w:val="24"/>
        </w:rPr>
        <w:instrText> </w:instrText>
      </w:r>
      <w:r>
        <w:rPr>
          <w:rFonts w:ascii="Tw Cen MT" w:cs="Times New Roman" w:hAnsi="Tw Cen MT"/>
          <w:sz w:val="24"/>
          <w:szCs w:val="24"/>
        </w:rPr>
        <w:instrText>CI 1.235 to 1.605), those whose mothers had no access to media (RRR=1.255; 95%</w:instrText>
      </w:r>
      <w:r>
        <w:rPr>
          <w:rFonts w:ascii="Arial" w:cs="Arial" w:hAnsi="Arial"/>
          <w:sz w:val="24"/>
          <w:szCs w:val="24"/>
        </w:rPr>
        <w:instrText> </w:instrText>
      </w:r>
      <w:r>
        <w:rPr>
          <w:rFonts w:ascii="Tw Cen MT" w:cs="Times New Roman" w:hAnsi="Tw Cen MT"/>
          <w:sz w:val="24"/>
          <w:szCs w:val="24"/>
        </w:rPr>
        <w:instrText>CI 1.144 to 1.377) and living in households with an unimproved toilet facility (RRR=1.158; 95%</w:instrText>
      </w:r>
      <w:r>
        <w:rPr>
          <w:rFonts w:ascii="Arial" w:cs="Arial" w:hAnsi="Arial"/>
          <w:sz w:val="24"/>
          <w:szCs w:val="24"/>
        </w:rPr>
        <w:instrText> </w:instrText>
      </w:r>
      <w:r>
        <w:rPr>
          <w:rFonts w:ascii="Tw Cen MT" w:cs="Times New Roman" w:hAnsi="Tw Cen MT"/>
          <w:sz w:val="24"/>
          <w:szCs w:val="24"/>
        </w:rPr>
        <w:instrText>CI 1.032 to 1.300). CONCLUSIONS: Findings suggest the urgent need for consideration of the coexistence of stunting, wasting and underweight among under-5 children in policy design and programming of interventions to eradicate child malnutrition in SSA. In the short-term, national-level policies and interventions need to be well tailored considering the compositional characteristics.","author":[{"dropping-particle":"","family":"Amadu","given":"Iddrisu","non-dropping-particle":"","parse-names":false,"suffix":""},{"dropping-particle":"","family":"Seidu","given":"Abdul-Aziz","non-dropping-particle":"","parse-names":false,"suffix":""},{"dropping-particle":"","family":"Duku","given":"Eric","non-dropping-particle":"","parse-names":false,"suffix":""},{"dropping-particle":"","family":"Boadu Frimpong","given":"James","non-dropping-particle":"","parse-names":false,"suffix":""},{"dropping-particle":"","family":"Hagan Jnr","given":"John Elvis","non-dropping-particle":"","parse-names":false,"suffix":""},{"dropping-particle":"","family":"Aboagye","given":"Richard Gyan","non-dropping-particle":"","parse-names":false,"suffix":""},{"dropping-particle":"","family":"Ampah","given":"Belinda","non-dropping-particle":"","parse-names":false,"suffix":""},{"dropping-particle":"","family":"Adu","given":"Collins","non-dropping-particle":"","parse-names":false,"suffix":""},{"dropping-particle":"","family":"Ahinkorah","given":"Bright Opoku","non-dropping-particle":"","parse-names":false,"suffix":""}],"container-title":"BMJ open","id":"ITEM-1","issue":"12","issued":{"date-parts":[["2021","12"]]},"language":"eng","page":"e052267","publisher-place":"England","title":"Risk factors associated with the coexistence of stunting, underweight, and  wasting in children under 5 from 31 sub-Saharan African countries.","type":"article-journal","volume":"11"},"uris":["http://www.mendeley.com/documents/?uuid=ebe87cb3-1a20-467d-bf97-a3094975081c"]}],"mendeley":{"formattedCitation":"(Amadu et al. 2021)","plainTextFormattedCitation":"(Amadu et al. 2021)","previouslyFormattedCitation":"(Amadu et al. 2021)"},"properties":{"noteIndex":0},"schema":"https://github.com/citation-style-language/schema/raw/master/csl-citation.json"}</w:instrText>
      </w:r>
      <w:r>
        <w:rPr>
          <w:rFonts w:ascii="Tw Cen MT" w:cs="Times New Roman" w:hAnsi="Tw Cen MT"/>
          <w:sz w:val="24"/>
          <w:szCs w:val="24"/>
        </w:rPr>
        <w:fldChar w:fldCharType="separate"/>
      </w:r>
      <w:r>
        <w:rPr>
          <w:rFonts w:ascii="Tw Cen MT" w:cs="Times New Roman" w:hAnsi="Tw Cen MT"/>
          <w:noProof/>
          <w:sz w:val="24"/>
          <w:szCs w:val="24"/>
        </w:rPr>
        <w:t>(Amadu et al. 2021)</w:t>
      </w:r>
      <w:r>
        <w:rPr>
          <w:rFonts w:ascii="Tw Cen MT" w:cs="Times New Roman" w:hAnsi="Tw Cen MT"/>
          <w:sz w:val="24"/>
          <w:szCs w:val="24"/>
        </w:rPr>
        <w:fldChar w:fldCharType="end"/>
      </w:r>
      <w:r>
        <w:rPr>
          <w:rFonts w:ascii="Tw Cen MT" w:cs="Times New Roman" w:hAnsi="Tw Cen MT"/>
          <w:sz w:val="24"/>
          <w:szCs w:val="24"/>
        </w:rPr>
        <w:fldChar w:fldCharType="begin"/>
      </w:r>
      <w:r>
        <w:rPr>
          <w:rFonts w:ascii="Tw Cen MT" w:cs="Times New Roman" w:hAnsi="Tw Cen MT"/>
          <w:sz w:val="24"/>
          <w:szCs w:val="24"/>
        </w:rPr>
        <w:instrText>ADDIN CSL_CITATION {"citationItems":[{"id":"ITEM-1","itemData":{"DOI":"10.1093/nutrit/nuy068","ISSN":"1753-4887 (Electronic)","PMID":"30753710","abstract":"In 2017, an estimated 1 in every 4 (23%) children aged &lt;</w:instrText>
      </w:r>
      <w:r>
        <w:rPr>
          <w:rFonts w:ascii="Arial" w:cs="Arial" w:hAnsi="Arial"/>
          <w:sz w:val="24"/>
          <w:szCs w:val="24"/>
        </w:rPr>
        <w:instrText> </w:instrText>
      </w:r>
      <w:r>
        <w:rPr>
          <w:rFonts w:ascii="Tw Cen MT" w:cs="Times New Roman" w:hAnsi="Tw Cen MT"/>
          <w:sz w:val="24"/>
          <w:szCs w:val="24"/>
        </w:rPr>
        <w:instrText>5 years were stunted  worldwide. With slow progress in stunting reduction in many regions and the realization that a large proportion of stunting is not due to insufficient diet or diarrhea alone, it remains that other factors must explain continued growth faltering. Environmental enteric dysfunction (EED), a subclinical state of intestinal inflammation, can occur in infants across the developing world and is proposed as an immediate causal factor connecting poor sanitation and stunting. A result of chronic pathogen exposure, EED presents multiple causal pathways, and as such the scope and sensitivity of traditional water, sanitation, and hygiene (WASH) interventions have possibly been unsubstantial. Although the definite pathogenesis of EED and the mechanism by which stunting occurs are yet to be defined, this paper reviews the existing literature surrounding the proposed pathology and transmission of EED in infants and considerations for nutrition and WASH interventions to improve linear growth worldwide.","author":[{"dropping-particle":"","family":"Budge","given":"Sophie","non-dropping-particle":"","parse-names":false,"suffix":""},{"dropping-particle":"","family":"Parker","given":"Alison H","non-dropping-particle":"","parse-names":false,"suffix":""},{"dropping-particle":"","family":"Hutchings","given":"Paul T","non-dropping-particle":"","parse-names":false,"suffix":""},{"dropping-particle":"","family":"Garbutt","given":"Camila","non-dropping-particle":"","parse-names":false,"suffix":""}],"container-title":"Nutrition reviews","id":"ITEM-1","issue":"4","issued":{"date-parts":[["2019","4"]]},"language":"eng","page":"240-253","publisher-place":"United States","title":"Environmental enteric dysfunction and child stunting.","type":"article-journal","volume":"77"},"uris":["http://www.mendeley.com/documents/?uuid=0796d590-9c85-4ac2-8ad3-ba52e94ffd18"]}],"mendeley":{"formattedCitation":"(Budge et al. 2019)","plainTextFormattedCitation":"(Budge et al. 2019)","previouslyFormattedCitation":"(Budge et al. 2019)"},"properties":{"noteIndex":0},"schema":"https://github.com/citation-style-language/schema/raw/master/csl-citation.json"}</w:instrText>
      </w:r>
      <w:r>
        <w:rPr>
          <w:rFonts w:ascii="Tw Cen MT" w:cs="Times New Roman" w:hAnsi="Tw Cen MT"/>
          <w:sz w:val="24"/>
          <w:szCs w:val="24"/>
        </w:rPr>
        <w:fldChar w:fldCharType="separate"/>
      </w:r>
      <w:r>
        <w:rPr>
          <w:rFonts w:ascii="Tw Cen MT" w:cs="Times New Roman" w:hAnsi="Tw Cen MT"/>
          <w:noProof/>
          <w:sz w:val="24"/>
          <w:szCs w:val="24"/>
        </w:rPr>
        <w:t>(Budge et al. 2019)</w:t>
      </w:r>
      <w:r>
        <w:rPr>
          <w:rFonts w:ascii="Tw Cen MT" w:cs="Times New Roman" w:hAnsi="Tw Cen MT"/>
          <w:sz w:val="24"/>
          <w:szCs w:val="24"/>
        </w:rPr>
        <w:fldChar w:fldCharType="end"/>
      </w:r>
      <w:r>
        <w:rPr>
          <w:rFonts w:ascii="Tw Cen MT" w:cs="Times New Roman" w:hAnsi="Tw Cen MT"/>
          <w:sz w:val="24"/>
          <w:szCs w:val="24"/>
        </w:rPr>
        <w:fldChar w:fldCharType="begin"/>
      </w:r>
      <w:r>
        <w:rPr>
          <w:rFonts w:ascii="Tw Cen MT" w:cs="Times New Roman" w:hAnsi="Tw Cen MT"/>
          <w:sz w:val="24"/>
          <w:szCs w:val="24"/>
        </w:rPr>
        <w:instrText>ADDIN CSL_CITATION {"citationItems":[{"id":"ITEM-1","itemData":{"DOI":"10.3760/cma.j.cn112140-20210225-00157","ISSN":"0578-1310 (Print)","PMID":"34645214","abstract":"Objective: To analyze the influential factors of stunting among children under 7  years of age in nine cities of China in order to provide empirical data for early prevention and intervention for stunting. Methods: The survey was carried out with 1</w:instrText>
      </w:r>
      <w:r>
        <w:rPr>
          <w:rFonts w:ascii="Cambria Math" w:cs="Cambria Math" w:hAnsi="Cambria Math"/>
          <w:sz w:val="24"/>
          <w:szCs w:val="24"/>
        </w:rPr>
        <w:instrText>∶</w:instrText>
      </w:r>
      <w:r>
        <w:rPr>
          <w:rFonts w:ascii="Tw Cen MT" w:cs="Times New Roman" w:hAnsi="Tw Cen MT"/>
          <w:sz w:val="24"/>
          <w:szCs w:val="24"/>
        </w:rPr>
        <w:instrText>1 case-control study design in the communities and kindergartens of nine cities (Beijing, Harbin, Xi'an, Shanghai, Nanjing, Wuhan, Guangzhou, Fuzhou, and Kunming) from June to November in 2016. Children of heights lower than the 3(rd) percentile according to the 2009 children's height standard in China were included as the stunting case group (n=1 281), and those with normal height matched for geolocation, gender, and age were recruited as the control group (n=1 281). The height and weight were measured on site, and the information related to family, perinatal status, diet and feeding, lifestyle, and medical history was collected by questionnaire. Continuous variables were compared by paired samples t test and Wilcoxon matched-pair signed ranks test, and proportions were compared by paired Chi square test. Multivariate analysis were carried out using conditional Logistic regression model. Results: Among 1 281 pairs of stunting and control group, there were 677 pairs of boys and 604 pairs of girls, with 238 pairs of children under age 3 years and 1 043 pairs of children aged 3 to 7 years. The Z scores for height and weight of stunting group were lower than that of control group (-2.27 (-2.54, -2.08) vs. -0.59 (-1.04, -0.10), -1.85 (-2.35, -1.38) vs. -0.69 (-1.20, -0.21), Z=30.982, 25.580, both P&lt;0.01). Among family related factors, parental education level, height, weight, and height of grandparents in stunting children were all lower than those in control group (all P&lt;0.05). Among individual related factors, proportion of preterm birth, low birth weight, shorter birth length, mother's pregnancy complications, difficulties adding milk or complementary feeding, poor appetite, slow eating, picky and partial eating, passive eating, more snack intake, shorter sleep duration, difficulty falling asleep, disturbed sleep, and recurrent infectious diseases in infant in stunting children were all higher than those in control group (all P&lt;0.05). Multivariate Logistic regression analysis results illustrate that the lower the parental education level and the parental height, the higher the risk of stunting. For example, the risk of stunting in children whose fathers had short stature was 6.46 times (95%CI: 2.73-15.30) of t…","author":[{"dropping-particle":"","family":"Zhang","given":"Y Q","non-dropping-particle":"","parse-names":false,"suffix":""},{"dropping-particle":"","family":"Wu","given":"H H","non-dropping-particle":"","parse-names":false,"suffix":""},{"dropping-particle":"","family":"Zong","given":"X N","non-dropping-particle":"","parse-names":false,"suffix":""},{"dropping-particle":"","family":"Li","given":"H","non-dropping-particle":"","parse-names":false,"suffix":""}],"container-title":"Zhonghua er ke za zhi = Chinese journal of pediatrics","id":"ITEM-1","issue":"9","issued":{"date-parts":[["2021","9"]]},"language":"chi","page":"743-751","publisher-place":"China","title":"[Survey on the influential factors of stunting among children under seven years  of age in nine cities of China].","type":"article-journal","volume":"59"},"uris":["http://www.mendeley.com/documents/?uuid=55140336-5d36-400c-8957-bbac615b97a2"]}],"mendeley":{"formattedCitation":"(Zhang et al. 2021)","plainTextFormattedCitation":"(Zhang et al. 2021)","previouslyFormattedCitation":"(Zhang et al. 2021)"},"properties":{"noteIndex":0},"schema":"https://github.com/citation-style-language/schema/raw/master/csl-citation.json"}</w:instrText>
      </w:r>
      <w:r>
        <w:rPr>
          <w:rFonts w:ascii="Tw Cen MT" w:cs="Times New Roman" w:hAnsi="Tw Cen MT"/>
          <w:sz w:val="24"/>
          <w:szCs w:val="24"/>
        </w:rPr>
        <w:fldChar w:fldCharType="separate"/>
      </w:r>
      <w:r>
        <w:rPr>
          <w:rFonts w:ascii="Tw Cen MT" w:cs="Times New Roman" w:hAnsi="Tw Cen MT"/>
          <w:noProof/>
          <w:sz w:val="24"/>
          <w:szCs w:val="24"/>
        </w:rPr>
        <w:t>(Zhang et al. 2021)</w:t>
      </w:r>
      <w:r>
        <w:rPr>
          <w:rFonts w:ascii="Tw Cen MT" w:cs="Times New Roman" w:hAnsi="Tw Cen MT"/>
          <w:sz w:val="24"/>
          <w:szCs w:val="24"/>
        </w:rPr>
        <w:fldChar w:fldCharType="end"/>
      </w:r>
      <w:r>
        <w:rPr>
          <w:rFonts w:ascii="Tw Cen MT" w:cs="Times New Roman" w:hAnsi="Tw Cen MT"/>
          <w:sz w:val="24"/>
          <w:szCs w:val="24"/>
        </w:rPr>
        <w:t xml:space="preserve"> yang </w:t>
      </w:r>
      <w:r>
        <w:rPr>
          <w:rFonts w:ascii="Tw Cen MT" w:cs="Times New Roman" w:hAnsi="Tw Cen MT"/>
          <w:sz w:val="24"/>
          <w:szCs w:val="24"/>
        </w:rPr>
        <w:t>menyatakan</w:t>
      </w:r>
      <w:r>
        <w:rPr>
          <w:rFonts w:ascii="Tw Cen MT" w:cs="Times New Roman" w:hAnsi="Tw Cen MT"/>
          <w:sz w:val="24"/>
          <w:szCs w:val="24"/>
        </w:rPr>
        <w:t xml:space="preserve"> </w:t>
      </w:r>
      <w:r>
        <w:rPr>
          <w:rFonts w:ascii="Tw Cen MT" w:cs="Times New Roman" w:hAnsi="Tw Cen MT"/>
          <w:sz w:val="24"/>
          <w:szCs w:val="24"/>
        </w:rPr>
        <w:t>bahwa</w:t>
      </w:r>
      <w:r>
        <w:rPr>
          <w:rFonts w:ascii="Tw Cen MT" w:cs="Times New Roman" w:hAnsi="Tw Cen MT"/>
          <w:sz w:val="24"/>
          <w:szCs w:val="24"/>
        </w:rPr>
        <w:t xml:space="preserve"> </w:t>
      </w:r>
      <w:r>
        <w:rPr>
          <w:rFonts w:ascii="Tw Cen MT" w:cs="Times New Roman" w:hAnsi="Tw Cen MT"/>
          <w:i/>
          <w:iCs/>
          <w:sz w:val="24"/>
          <w:szCs w:val="24"/>
        </w:rPr>
        <w:t>Stunting</w:t>
      </w:r>
      <w:r>
        <w:rPr>
          <w:rFonts w:ascii="Tw Cen MT" w:cs="Times New Roman" w:hAnsi="Tw Cen MT"/>
          <w:sz w:val="24"/>
          <w:szCs w:val="24"/>
        </w:rPr>
        <w:t xml:space="preserve"> </w:t>
      </w:r>
      <w:r>
        <w:rPr>
          <w:rFonts w:ascii="Tw Cen MT" w:cs="Times New Roman" w:hAnsi="Tw Cen MT"/>
          <w:sz w:val="24"/>
          <w:szCs w:val="24"/>
        </w:rPr>
        <w:t>umumnya</w:t>
      </w:r>
      <w:r>
        <w:rPr>
          <w:rFonts w:ascii="Tw Cen MT" w:cs="Times New Roman" w:hAnsi="Tw Cen MT"/>
          <w:sz w:val="24"/>
          <w:szCs w:val="24"/>
        </w:rPr>
        <w:t xml:space="preserve"> </w:t>
      </w:r>
      <w:r>
        <w:rPr>
          <w:rFonts w:ascii="Tw Cen MT" w:cs="Times New Roman" w:hAnsi="Tw Cen MT"/>
          <w:sz w:val="24"/>
          <w:szCs w:val="24"/>
        </w:rPr>
        <w:t>dipengaruhi</w:t>
      </w:r>
      <w:r>
        <w:rPr>
          <w:rFonts w:ascii="Tw Cen MT" w:cs="Times New Roman" w:hAnsi="Tw Cen MT"/>
          <w:sz w:val="24"/>
          <w:szCs w:val="24"/>
        </w:rPr>
        <w:t xml:space="preserve"> oleh:</w:t>
      </w:r>
    </w:p>
    <w:p>
      <w:pPr>
        <w:pStyle w:val="style0"/>
        <w:numPr>
          <w:ilvl w:val="0"/>
          <w:numId w:val="12"/>
        </w:numPr>
        <w:tabs>
          <w:tab w:val="clear" w:pos="720"/>
        </w:tabs>
        <w:spacing w:after="160" w:lineRule="auto" w:line="240"/>
        <w:ind w:left="284" w:hanging="218"/>
        <w:jc w:val="both"/>
        <w:contextualSpacing/>
        <w:rPr>
          <w:rFonts w:ascii="Tw Cen MT" w:cs="Times New Roman" w:hAnsi="Tw Cen MT"/>
          <w:sz w:val="24"/>
          <w:szCs w:val="24"/>
        </w:rPr>
      </w:pPr>
      <w:r>
        <w:rPr>
          <w:rFonts w:ascii="Tw Cen MT" w:cs="Times New Roman" w:hAnsi="Tw Cen MT"/>
          <w:sz w:val="24"/>
          <w:szCs w:val="24"/>
        </w:rPr>
        <w:t>Asupan</w:t>
      </w:r>
      <w:r>
        <w:rPr>
          <w:rFonts w:ascii="Tw Cen MT" w:cs="Times New Roman" w:hAnsi="Tw Cen MT"/>
          <w:sz w:val="24"/>
          <w:szCs w:val="24"/>
        </w:rPr>
        <w:t xml:space="preserve"> </w:t>
      </w:r>
      <w:r>
        <w:rPr>
          <w:rFonts w:ascii="Tw Cen MT" w:cs="Times New Roman" w:hAnsi="Tw Cen MT"/>
          <w:sz w:val="24"/>
          <w:szCs w:val="24"/>
        </w:rPr>
        <w:t>Nutrisi</w:t>
      </w:r>
      <w:r>
        <w:rPr>
          <w:rFonts w:ascii="Tw Cen MT" w:cs="Times New Roman" w:hAnsi="Tw Cen MT"/>
          <w:sz w:val="24"/>
          <w:szCs w:val="24"/>
        </w:rPr>
        <w:t xml:space="preserve"> yang Tidak </w:t>
      </w:r>
      <w:r>
        <w:rPr>
          <w:rFonts w:ascii="Tw Cen MT" w:cs="Times New Roman" w:hAnsi="Tw Cen MT"/>
          <w:sz w:val="24"/>
          <w:szCs w:val="24"/>
        </w:rPr>
        <w:t>Memadai</w:t>
      </w:r>
      <w:r>
        <w:rPr>
          <w:rFonts w:ascii="Tw Cen MT" w:cs="Times New Roman" w:hAnsi="Tw Cen MT"/>
          <w:sz w:val="24"/>
          <w:szCs w:val="24"/>
        </w:rPr>
        <w:t>: </w:t>
      </w:r>
      <w:r>
        <w:rPr>
          <w:rFonts w:ascii="Tw Cen MT" w:cs="Times New Roman" w:hAnsi="Tw Cen MT"/>
          <w:sz w:val="24"/>
          <w:szCs w:val="24"/>
        </w:rPr>
        <w:t>Kekurangan</w:t>
      </w:r>
      <w:r>
        <w:rPr>
          <w:rFonts w:ascii="Tw Cen MT" w:cs="Times New Roman" w:hAnsi="Tw Cen MT"/>
          <w:sz w:val="24"/>
          <w:szCs w:val="24"/>
        </w:rPr>
        <w:t xml:space="preserve"> </w:t>
      </w:r>
      <w:r>
        <w:rPr>
          <w:rFonts w:ascii="Tw Cen MT" w:cs="Times New Roman" w:hAnsi="Tw Cen MT"/>
          <w:sz w:val="24"/>
          <w:szCs w:val="24"/>
        </w:rPr>
        <w:t>zat</w:t>
      </w:r>
      <w:r>
        <w:rPr>
          <w:rFonts w:ascii="Tw Cen MT" w:cs="Times New Roman" w:hAnsi="Tw Cen MT"/>
          <w:sz w:val="24"/>
          <w:szCs w:val="24"/>
        </w:rPr>
        <w:t xml:space="preserve"> </w:t>
      </w:r>
      <w:r>
        <w:rPr>
          <w:rFonts w:ascii="Tw Cen MT" w:cs="Times New Roman" w:hAnsi="Tw Cen MT"/>
          <w:sz w:val="24"/>
          <w:szCs w:val="24"/>
        </w:rPr>
        <w:t>gizi</w:t>
      </w:r>
      <w:r>
        <w:rPr>
          <w:rFonts w:ascii="Tw Cen MT" w:cs="Times New Roman" w:hAnsi="Tw Cen MT"/>
          <w:sz w:val="24"/>
          <w:szCs w:val="24"/>
        </w:rPr>
        <w:t xml:space="preserve"> </w:t>
      </w:r>
      <w:r>
        <w:rPr>
          <w:rFonts w:ascii="Tw Cen MT" w:cs="Times New Roman" w:hAnsi="Tw Cen MT"/>
          <w:sz w:val="24"/>
          <w:szCs w:val="24"/>
        </w:rPr>
        <w:t>makro</w:t>
      </w:r>
      <w:r>
        <w:rPr>
          <w:rFonts w:ascii="Tw Cen MT" w:cs="Times New Roman" w:hAnsi="Tw Cen MT"/>
          <w:sz w:val="24"/>
          <w:szCs w:val="24"/>
        </w:rPr>
        <w:t xml:space="preserve"> dan </w:t>
      </w:r>
      <w:r>
        <w:rPr>
          <w:rFonts w:ascii="Tw Cen MT" w:cs="Times New Roman" w:hAnsi="Tw Cen MT"/>
          <w:sz w:val="24"/>
          <w:szCs w:val="24"/>
        </w:rPr>
        <w:t>mikro</w:t>
      </w:r>
      <w:r>
        <w:rPr>
          <w:rFonts w:ascii="Tw Cen MT" w:cs="Times New Roman" w:hAnsi="Tw Cen MT"/>
          <w:sz w:val="24"/>
          <w:szCs w:val="24"/>
        </w:rPr>
        <w:t xml:space="preserve"> </w:t>
      </w:r>
      <w:r>
        <w:rPr>
          <w:rFonts w:ascii="Tw Cen MT" w:cs="Times New Roman" w:hAnsi="Tw Cen MT"/>
          <w:sz w:val="24"/>
          <w:szCs w:val="24"/>
        </w:rPr>
        <w:t>sejak</w:t>
      </w:r>
      <w:r>
        <w:rPr>
          <w:rFonts w:ascii="Tw Cen MT" w:cs="Times New Roman" w:hAnsi="Tw Cen MT"/>
          <w:sz w:val="24"/>
          <w:szCs w:val="24"/>
        </w:rPr>
        <w:t xml:space="preserve"> </w:t>
      </w:r>
      <w:r>
        <w:rPr>
          <w:rFonts w:ascii="Tw Cen MT" w:cs="Times New Roman" w:hAnsi="Tw Cen MT"/>
          <w:sz w:val="24"/>
          <w:szCs w:val="24"/>
        </w:rPr>
        <w:t>dalam</w:t>
      </w:r>
      <w:r>
        <w:rPr>
          <w:rFonts w:ascii="Tw Cen MT" w:cs="Times New Roman" w:hAnsi="Tw Cen MT"/>
          <w:sz w:val="24"/>
          <w:szCs w:val="24"/>
        </w:rPr>
        <w:t xml:space="preserve"> </w:t>
      </w:r>
      <w:r>
        <w:rPr>
          <w:rFonts w:ascii="Tw Cen MT" w:cs="Times New Roman" w:hAnsi="Tw Cen MT"/>
          <w:sz w:val="24"/>
          <w:szCs w:val="24"/>
        </w:rPr>
        <w:t>kandungan</w:t>
      </w:r>
      <w:r>
        <w:rPr>
          <w:rFonts w:ascii="Tw Cen MT" w:cs="Times New Roman" w:hAnsi="Tw Cen MT"/>
          <w:sz w:val="24"/>
          <w:szCs w:val="24"/>
        </w:rPr>
        <w:t xml:space="preserve"> </w:t>
      </w:r>
      <w:r>
        <w:rPr>
          <w:rFonts w:ascii="Tw Cen MT" w:cs="Times New Roman" w:hAnsi="Tw Cen MT"/>
          <w:sz w:val="24"/>
          <w:szCs w:val="24"/>
        </w:rPr>
        <w:t>hingga</w:t>
      </w:r>
      <w:r>
        <w:rPr>
          <w:rFonts w:ascii="Tw Cen MT" w:cs="Times New Roman" w:hAnsi="Tw Cen MT"/>
          <w:sz w:val="24"/>
          <w:szCs w:val="24"/>
        </w:rPr>
        <w:t xml:space="preserve"> </w:t>
      </w:r>
      <w:r>
        <w:rPr>
          <w:rFonts w:ascii="Tw Cen MT" w:cs="Times New Roman" w:hAnsi="Tw Cen MT"/>
          <w:sz w:val="24"/>
          <w:szCs w:val="24"/>
        </w:rPr>
        <w:t>usia</w:t>
      </w:r>
      <w:r>
        <w:rPr>
          <w:rFonts w:ascii="Tw Cen MT" w:cs="Times New Roman" w:hAnsi="Tw Cen MT"/>
          <w:sz w:val="24"/>
          <w:szCs w:val="24"/>
        </w:rPr>
        <w:t xml:space="preserve"> 2 </w:t>
      </w:r>
      <w:r>
        <w:rPr>
          <w:rFonts w:ascii="Tw Cen MT" w:cs="Times New Roman" w:hAnsi="Tw Cen MT"/>
          <w:sz w:val="24"/>
          <w:szCs w:val="24"/>
        </w:rPr>
        <w:t>tahun</w:t>
      </w:r>
      <w:r>
        <w:rPr>
          <w:rFonts w:ascii="Tw Cen MT" w:cs="Times New Roman" w:hAnsi="Tw Cen MT"/>
          <w:sz w:val="24"/>
          <w:szCs w:val="24"/>
        </w:rPr>
        <w:t xml:space="preserve"> (</w:t>
      </w:r>
      <w:r>
        <w:rPr>
          <w:rFonts w:ascii="Tw Cen MT" w:cs="Times New Roman" w:hAnsi="Tw Cen MT"/>
          <w:sz w:val="24"/>
          <w:szCs w:val="24"/>
        </w:rPr>
        <w:t>periode</w:t>
      </w:r>
      <w:r>
        <w:rPr>
          <w:rFonts w:ascii="Tw Cen MT" w:cs="Times New Roman" w:hAnsi="Tw Cen MT"/>
          <w:sz w:val="24"/>
          <w:szCs w:val="24"/>
        </w:rPr>
        <w:t xml:space="preserve"> 1000 HPK).</w:t>
      </w:r>
    </w:p>
    <w:p>
      <w:pPr>
        <w:pStyle w:val="style0"/>
        <w:numPr>
          <w:ilvl w:val="0"/>
          <w:numId w:val="12"/>
        </w:numPr>
        <w:tabs>
          <w:tab w:val="clear" w:pos="720"/>
        </w:tabs>
        <w:spacing w:after="160" w:lineRule="auto" w:line="240"/>
        <w:ind w:left="284" w:hanging="218"/>
        <w:jc w:val="both"/>
        <w:contextualSpacing/>
        <w:rPr>
          <w:rFonts w:ascii="Tw Cen MT" w:cs="Times New Roman" w:hAnsi="Tw Cen MT"/>
          <w:sz w:val="24"/>
          <w:szCs w:val="24"/>
        </w:rPr>
      </w:pPr>
      <w:r>
        <w:rPr>
          <w:rFonts w:ascii="Tw Cen MT" w:cs="Times New Roman" w:hAnsi="Tw Cen MT"/>
          <w:sz w:val="24"/>
          <w:szCs w:val="24"/>
        </w:rPr>
        <w:t>Sanitasi</w:t>
      </w:r>
      <w:r>
        <w:rPr>
          <w:rFonts w:ascii="Tw Cen MT" w:cs="Times New Roman" w:hAnsi="Tw Cen MT"/>
          <w:sz w:val="24"/>
          <w:szCs w:val="24"/>
        </w:rPr>
        <w:t xml:space="preserve"> dan </w:t>
      </w:r>
      <w:r>
        <w:rPr>
          <w:rFonts w:ascii="Tw Cen MT" w:cs="Times New Roman" w:hAnsi="Tw Cen MT"/>
          <w:sz w:val="24"/>
          <w:szCs w:val="24"/>
        </w:rPr>
        <w:t>Kebersihan</w:t>
      </w:r>
      <w:r>
        <w:rPr>
          <w:rFonts w:ascii="Tw Cen MT" w:cs="Times New Roman" w:hAnsi="Tw Cen MT"/>
          <w:sz w:val="24"/>
          <w:szCs w:val="24"/>
        </w:rPr>
        <w:t xml:space="preserve"> </w:t>
      </w:r>
      <w:r>
        <w:rPr>
          <w:rFonts w:ascii="Tw Cen MT" w:cs="Times New Roman" w:hAnsi="Tw Cen MT"/>
          <w:sz w:val="24"/>
          <w:szCs w:val="24"/>
        </w:rPr>
        <w:t>Lingkungan</w:t>
      </w:r>
      <w:r>
        <w:rPr>
          <w:rFonts w:ascii="Tw Cen MT" w:cs="Times New Roman" w:hAnsi="Tw Cen MT"/>
          <w:sz w:val="24"/>
          <w:szCs w:val="24"/>
        </w:rPr>
        <w:t>: </w:t>
      </w:r>
      <w:r>
        <w:rPr>
          <w:rFonts w:ascii="Tw Cen MT" w:cs="Times New Roman" w:hAnsi="Tw Cen MT"/>
          <w:sz w:val="24"/>
          <w:szCs w:val="24"/>
        </w:rPr>
        <w:t>Sanitasi</w:t>
      </w:r>
      <w:r>
        <w:rPr>
          <w:rFonts w:ascii="Tw Cen MT" w:cs="Times New Roman" w:hAnsi="Tw Cen MT"/>
          <w:sz w:val="24"/>
          <w:szCs w:val="24"/>
        </w:rPr>
        <w:t xml:space="preserve"> </w:t>
      </w:r>
      <w:r>
        <w:rPr>
          <w:rFonts w:ascii="Tw Cen MT" w:cs="Times New Roman" w:hAnsi="Tw Cen MT"/>
          <w:sz w:val="24"/>
          <w:szCs w:val="24"/>
        </w:rPr>
        <w:t>buruk</w:t>
      </w:r>
      <w:r>
        <w:rPr>
          <w:rFonts w:ascii="Tw Cen MT" w:cs="Times New Roman" w:hAnsi="Tw Cen MT"/>
          <w:sz w:val="24"/>
          <w:szCs w:val="24"/>
        </w:rPr>
        <w:t xml:space="preserve"> </w:t>
      </w:r>
      <w:r>
        <w:rPr>
          <w:rFonts w:ascii="Tw Cen MT" w:cs="Times New Roman" w:hAnsi="Tw Cen MT"/>
          <w:sz w:val="24"/>
          <w:szCs w:val="24"/>
        </w:rPr>
        <w:t>dapat</w:t>
      </w:r>
      <w:r>
        <w:rPr>
          <w:rFonts w:ascii="Tw Cen MT" w:cs="Times New Roman" w:hAnsi="Tw Cen MT"/>
          <w:sz w:val="24"/>
          <w:szCs w:val="24"/>
        </w:rPr>
        <w:t xml:space="preserve"> </w:t>
      </w:r>
      <w:r>
        <w:rPr>
          <w:rFonts w:ascii="Tw Cen MT" w:cs="Times New Roman" w:hAnsi="Tw Cen MT"/>
          <w:sz w:val="24"/>
          <w:szCs w:val="24"/>
        </w:rPr>
        <w:t>meningkatkan</w:t>
      </w:r>
      <w:r>
        <w:rPr>
          <w:rFonts w:ascii="Tw Cen MT" w:cs="Times New Roman" w:hAnsi="Tw Cen MT"/>
          <w:sz w:val="24"/>
          <w:szCs w:val="24"/>
        </w:rPr>
        <w:t xml:space="preserve"> </w:t>
      </w:r>
      <w:r>
        <w:rPr>
          <w:rFonts w:ascii="Tw Cen MT" w:cs="Times New Roman" w:hAnsi="Tw Cen MT"/>
          <w:sz w:val="24"/>
          <w:szCs w:val="24"/>
        </w:rPr>
        <w:t>risiko</w:t>
      </w:r>
      <w:r>
        <w:rPr>
          <w:rFonts w:ascii="Tw Cen MT" w:cs="Times New Roman" w:hAnsi="Tw Cen MT"/>
          <w:sz w:val="24"/>
          <w:szCs w:val="24"/>
        </w:rPr>
        <w:t xml:space="preserve"> </w:t>
      </w:r>
      <w:r>
        <w:rPr>
          <w:rFonts w:ascii="Tw Cen MT" w:cs="Times New Roman" w:hAnsi="Tw Cen MT"/>
          <w:sz w:val="24"/>
          <w:szCs w:val="24"/>
        </w:rPr>
        <w:t>infeksi</w:t>
      </w:r>
      <w:r>
        <w:rPr>
          <w:rFonts w:ascii="Tw Cen MT" w:cs="Times New Roman" w:hAnsi="Tw Cen MT"/>
          <w:sz w:val="24"/>
          <w:szCs w:val="24"/>
        </w:rPr>
        <w:t xml:space="preserve"> yang </w:t>
      </w:r>
      <w:r>
        <w:rPr>
          <w:rFonts w:ascii="Tw Cen MT" w:cs="Times New Roman" w:hAnsi="Tw Cen MT"/>
          <w:sz w:val="24"/>
          <w:szCs w:val="24"/>
        </w:rPr>
        <w:t>menghambat</w:t>
      </w:r>
      <w:r>
        <w:rPr>
          <w:rFonts w:ascii="Tw Cen MT" w:cs="Times New Roman" w:hAnsi="Tw Cen MT"/>
          <w:sz w:val="24"/>
          <w:szCs w:val="24"/>
        </w:rPr>
        <w:t xml:space="preserve"> </w:t>
      </w:r>
      <w:r>
        <w:rPr>
          <w:rFonts w:ascii="Tw Cen MT" w:cs="Times New Roman" w:hAnsi="Tw Cen MT"/>
          <w:sz w:val="24"/>
          <w:szCs w:val="24"/>
        </w:rPr>
        <w:t>pertumbuhan</w:t>
      </w:r>
      <w:r>
        <w:rPr>
          <w:rFonts w:ascii="Tw Cen MT" w:cs="Times New Roman" w:hAnsi="Tw Cen MT"/>
          <w:sz w:val="24"/>
          <w:szCs w:val="24"/>
        </w:rPr>
        <w:t xml:space="preserve"> </w:t>
      </w:r>
      <w:r>
        <w:rPr>
          <w:rFonts w:ascii="Tw Cen MT" w:cs="Times New Roman" w:hAnsi="Tw Cen MT"/>
          <w:sz w:val="24"/>
          <w:szCs w:val="24"/>
        </w:rPr>
        <w:t>anak</w:t>
      </w:r>
      <w:r>
        <w:rPr>
          <w:rFonts w:ascii="Tw Cen MT" w:cs="Times New Roman" w:hAnsi="Tw Cen MT"/>
          <w:sz w:val="24"/>
          <w:szCs w:val="24"/>
        </w:rPr>
        <w:t>.</w:t>
      </w:r>
    </w:p>
    <w:p>
      <w:pPr>
        <w:pStyle w:val="style0"/>
        <w:numPr>
          <w:ilvl w:val="0"/>
          <w:numId w:val="12"/>
        </w:numPr>
        <w:tabs>
          <w:tab w:val="clear" w:pos="720"/>
        </w:tabs>
        <w:spacing w:after="160" w:lineRule="auto" w:line="240"/>
        <w:ind w:left="284" w:hanging="218"/>
        <w:jc w:val="both"/>
        <w:contextualSpacing/>
        <w:rPr>
          <w:rFonts w:ascii="Tw Cen MT" w:cs="Times New Roman" w:hAnsi="Tw Cen MT"/>
          <w:sz w:val="24"/>
          <w:szCs w:val="24"/>
        </w:rPr>
      </w:pPr>
      <w:r>
        <w:rPr>
          <w:rFonts w:ascii="Tw Cen MT" w:cs="Times New Roman" w:hAnsi="Tw Cen MT"/>
          <w:sz w:val="24"/>
          <w:szCs w:val="24"/>
        </w:rPr>
        <w:t xml:space="preserve">Akses </w:t>
      </w:r>
      <w:r>
        <w:rPr>
          <w:rFonts w:ascii="Tw Cen MT" w:cs="Times New Roman" w:hAnsi="Tw Cen MT"/>
          <w:sz w:val="24"/>
          <w:szCs w:val="24"/>
        </w:rPr>
        <w:t>Layanan</w:t>
      </w:r>
      <w:r>
        <w:rPr>
          <w:rFonts w:ascii="Tw Cen MT" w:cs="Times New Roman" w:hAnsi="Tw Cen MT"/>
          <w:sz w:val="24"/>
          <w:szCs w:val="24"/>
        </w:rPr>
        <w:t xml:space="preserve"> Kesehatan: </w:t>
      </w:r>
      <w:r>
        <w:rPr>
          <w:rFonts w:ascii="Tw Cen MT" w:cs="Times New Roman" w:hAnsi="Tw Cen MT"/>
          <w:sz w:val="24"/>
          <w:szCs w:val="24"/>
        </w:rPr>
        <w:t>Rendahnya</w:t>
      </w:r>
      <w:r>
        <w:rPr>
          <w:rFonts w:ascii="Tw Cen MT" w:cs="Times New Roman" w:hAnsi="Tw Cen MT"/>
          <w:sz w:val="24"/>
          <w:szCs w:val="24"/>
        </w:rPr>
        <w:t xml:space="preserve"> </w:t>
      </w:r>
      <w:r>
        <w:rPr>
          <w:rFonts w:ascii="Tw Cen MT" w:cs="Times New Roman" w:hAnsi="Tw Cen MT"/>
          <w:sz w:val="24"/>
          <w:szCs w:val="24"/>
        </w:rPr>
        <w:t>akses</w:t>
      </w:r>
      <w:r>
        <w:rPr>
          <w:rFonts w:ascii="Tw Cen MT" w:cs="Times New Roman" w:hAnsi="Tw Cen MT"/>
          <w:sz w:val="24"/>
          <w:szCs w:val="24"/>
        </w:rPr>
        <w:t xml:space="preserve"> </w:t>
      </w:r>
      <w:r>
        <w:rPr>
          <w:rFonts w:ascii="Tw Cen MT" w:cs="Times New Roman" w:hAnsi="Tw Cen MT"/>
          <w:sz w:val="24"/>
          <w:szCs w:val="24"/>
        </w:rPr>
        <w:t>imunisasi</w:t>
      </w:r>
      <w:r>
        <w:rPr>
          <w:rFonts w:ascii="Tw Cen MT" w:cs="Times New Roman" w:hAnsi="Tw Cen MT"/>
          <w:sz w:val="24"/>
          <w:szCs w:val="24"/>
        </w:rPr>
        <w:t xml:space="preserve">, </w:t>
      </w:r>
      <w:r>
        <w:rPr>
          <w:rFonts w:ascii="Tw Cen MT" w:cs="Times New Roman" w:hAnsi="Tw Cen MT"/>
          <w:sz w:val="24"/>
          <w:szCs w:val="24"/>
        </w:rPr>
        <w:t>pemeriksaan</w:t>
      </w:r>
      <w:r>
        <w:rPr>
          <w:rFonts w:ascii="Tw Cen MT" w:cs="Times New Roman" w:hAnsi="Tw Cen MT"/>
          <w:sz w:val="24"/>
          <w:szCs w:val="24"/>
        </w:rPr>
        <w:t xml:space="preserve"> </w:t>
      </w:r>
      <w:r>
        <w:rPr>
          <w:rFonts w:ascii="Tw Cen MT" w:cs="Times New Roman" w:hAnsi="Tw Cen MT"/>
          <w:sz w:val="24"/>
          <w:szCs w:val="24"/>
        </w:rPr>
        <w:t>kesehatan</w:t>
      </w:r>
      <w:r>
        <w:rPr>
          <w:rFonts w:ascii="Tw Cen MT" w:cs="Times New Roman" w:hAnsi="Tw Cen MT"/>
          <w:sz w:val="24"/>
          <w:szCs w:val="24"/>
        </w:rPr>
        <w:t xml:space="preserve"> </w:t>
      </w:r>
      <w:r>
        <w:rPr>
          <w:rFonts w:ascii="Tw Cen MT" w:cs="Times New Roman" w:hAnsi="Tw Cen MT"/>
          <w:sz w:val="24"/>
          <w:szCs w:val="24"/>
        </w:rPr>
        <w:t>ibu</w:t>
      </w:r>
      <w:r>
        <w:rPr>
          <w:rFonts w:ascii="Tw Cen MT" w:cs="Times New Roman" w:hAnsi="Tw Cen MT"/>
          <w:sz w:val="24"/>
          <w:szCs w:val="24"/>
        </w:rPr>
        <w:t xml:space="preserve"> dan </w:t>
      </w:r>
      <w:r>
        <w:rPr>
          <w:rFonts w:ascii="Tw Cen MT" w:cs="Times New Roman" w:hAnsi="Tw Cen MT"/>
          <w:sz w:val="24"/>
          <w:szCs w:val="24"/>
        </w:rPr>
        <w:t>anak</w:t>
      </w:r>
      <w:r>
        <w:rPr>
          <w:rFonts w:ascii="Tw Cen MT" w:cs="Times New Roman" w:hAnsi="Tw Cen MT"/>
          <w:sz w:val="24"/>
          <w:szCs w:val="24"/>
        </w:rPr>
        <w:t xml:space="preserve">, </w:t>
      </w:r>
      <w:r>
        <w:rPr>
          <w:rFonts w:ascii="Tw Cen MT" w:cs="Times New Roman" w:hAnsi="Tw Cen MT"/>
          <w:sz w:val="24"/>
          <w:szCs w:val="24"/>
        </w:rPr>
        <w:t>serta</w:t>
      </w:r>
      <w:r>
        <w:rPr>
          <w:rFonts w:ascii="Tw Cen MT" w:cs="Times New Roman" w:hAnsi="Tw Cen MT"/>
          <w:sz w:val="24"/>
          <w:szCs w:val="24"/>
        </w:rPr>
        <w:t xml:space="preserve"> </w:t>
      </w:r>
      <w:r>
        <w:rPr>
          <w:rFonts w:ascii="Tw Cen MT" w:cs="Times New Roman" w:hAnsi="Tw Cen MT"/>
          <w:sz w:val="24"/>
          <w:szCs w:val="24"/>
        </w:rPr>
        <w:t>pengobatan</w:t>
      </w:r>
      <w:r>
        <w:rPr>
          <w:rFonts w:ascii="Tw Cen MT" w:cs="Times New Roman" w:hAnsi="Tw Cen MT"/>
          <w:sz w:val="24"/>
          <w:szCs w:val="24"/>
        </w:rPr>
        <w:t xml:space="preserve"> </w:t>
      </w:r>
      <w:r>
        <w:rPr>
          <w:rFonts w:ascii="Tw Cen MT" w:cs="Times New Roman" w:hAnsi="Tw Cen MT"/>
          <w:sz w:val="24"/>
          <w:szCs w:val="24"/>
        </w:rPr>
        <w:t>infeksi</w:t>
      </w:r>
      <w:r>
        <w:rPr>
          <w:rFonts w:ascii="Tw Cen MT" w:cs="Times New Roman" w:hAnsi="Tw Cen MT"/>
          <w:sz w:val="24"/>
          <w:szCs w:val="24"/>
        </w:rPr>
        <w:t>.</w:t>
      </w:r>
    </w:p>
    <w:p>
      <w:pPr>
        <w:pStyle w:val="style0"/>
        <w:numPr>
          <w:ilvl w:val="0"/>
          <w:numId w:val="12"/>
        </w:numPr>
        <w:tabs>
          <w:tab w:val="clear" w:pos="720"/>
        </w:tabs>
        <w:spacing w:after="160" w:lineRule="auto" w:line="240"/>
        <w:ind w:left="284" w:hanging="218"/>
        <w:jc w:val="both"/>
        <w:contextualSpacing/>
        <w:rPr>
          <w:rFonts w:ascii="Tw Cen MT" w:cs="Times New Roman" w:hAnsi="Tw Cen MT"/>
          <w:sz w:val="24"/>
          <w:szCs w:val="24"/>
        </w:rPr>
      </w:pPr>
      <w:r>
        <w:rPr>
          <w:rFonts w:ascii="Tw Cen MT" w:cs="Times New Roman" w:hAnsi="Tw Cen MT"/>
          <w:sz w:val="24"/>
          <w:szCs w:val="24"/>
        </w:rPr>
        <w:t>Kondisi</w:t>
      </w:r>
      <w:r>
        <w:rPr>
          <w:rFonts w:ascii="Tw Cen MT" w:cs="Times New Roman" w:hAnsi="Tw Cen MT"/>
          <w:sz w:val="24"/>
          <w:szCs w:val="24"/>
        </w:rPr>
        <w:t xml:space="preserve"> Ekonomi dan Pendidikan Ibu: </w:t>
      </w:r>
      <w:r>
        <w:rPr>
          <w:rFonts w:ascii="Tw Cen MT" w:cs="Times New Roman" w:hAnsi="Tw Cen MT"/>
          <w:sz w:val="24"/>
          <w:szCs w:val="24"/>
        </w:rPr>
        <w:t>Rendahnya</w:t>
      </w:r>
      <w:r>
        <w:rPr>
          <w:rFonts w:ascii="Tw Cen MT" w:cs="Times New Roman" w:hAnsi="Tw Cen MT"/>
          <w:sz w:val="24"/>
          <w:szCs w:val="24"/>
        </w:rPr>
        <w:t xml:space="preserve"> </w:t>
      </w:r>
      <w:r>
        <w:rPr>
          <w:rFonts w:ascii="Tw Cen MT" w:cs="Times New Roman" w:hAnsi="Tw Cen MT"/>
          <w:sz w:val="24"/>
          <w:szCs w:val="24"/>
        </w:rPr>
        <w:t>penghasilan</w:t>
      </w:r>
      <w:r>
        <w:rPr>
          <w:rFonts w:ascii="Tw Cen MT" w:cs="Times New Roman" w:hAnsi="Tw Cen MT"/>
          <w:sz w:val="24"/>
          <w:szCs w:val="24"/>
        </w:rPr>
        <w:t xml:space="preserve"> </w:t>
      </w:r>
      <w:r>
        <w:rPr>
          <w:rFonts w:ascii="Tw Cen MT" w:cs="Times New Roman" w:hAnsi="Tw Cen MT"/>
          <w:sz w:val="24"/>
          <w:szCs w:val="24"/>
        </w:rPr>
        <w:t>keluarga</w:t>
      </w:r>
      <w:r>
        <w:rPr>
          <w:rFonts w:ascii="Tw Cen MT" w:cs="Times New Roman" w:hAnsi="Tw Cen MT"/>
          <w:sz w:val="24"/>
          <w:szCs w:val="24"/>
        </w:rPr>
        <w:t xml:space="preserve"> </w:t>
      </w:r>
      <w:r>
        <w:rPr>
          <w:rFonts w:ascii="Tw Cen MT" w:cs="Times New Roman" w:hAnsi="Tw Cen MT"/>
          <w:sz w:val="24"/>
          <w:szCs w:val="24"/>
        </w:rPr>
        <w:t>atau</w:t>
      </w:r>
      <w:r>
        <w:rPr>
          <w:rFonts w:ascii="Tw Cen MT" w:cs="Times New Roman" w:hAnsi="Tw Cen MT"/>
          <w:sz w:val="24"/>
          <w:szCs w:val="24"/>
        </w:rPr>
        <w:t xml:space="preserve"> </w:t>
      </w:r>
      <w:r>
        <w:rPr>
          <w:rFonts w:ascii="Tw Cen MT" w:cs="Times New Roman" w:hAnsi="Tw Cen MT"/>
          <w:sz w:val="24"/>
          <w:szCs w:val="24"/>
        </w:rPr>
        <w:t>pendidikan</w:t>
      </w:r>
      <w:r>
        <w:rPr>
          <w:rFonts w:ascii="Tw Cen MT" w:cs="Times New Roman" w:hAnsi="Tw Cen MT"/>
          <w:sz w:val="24"/>
          <w:szCs w:val="24"/>
        </w:rPr>
        <w:t xml:space="preserve"> </w:t>
      </w:r>
      <w:r>
        <w:rPr>
          <w:rFonts w:ascii="Tw Cen MT" w:cs="Times New Roman" w:hAnsi="Tw Cen MT"/>
          <w:sz w:val="24"/>
          <w:szCs w:val="24"/>
        </w:rPr>
        <w:t>ibu</w:t>
      </w:r>
      <w:r>
        <w:rPr>
          <w:rFonts w:ascii="Tw Cen MT" w:cs="Times New Roman" w:hAnsi="Tw Cen MT"/>
          <w:sz w:val="24"/>
          <w:szCs w:val="24"/>
        </w:rPr>
        <w:t xml:space="preserve"> </w:t>
      </w:r>
      <w:r>
        <w:rPr>
          <w:rFonts w:ascii="Tw Cen MT" w:cs="Times New Roman" w:hAnsi="Tw Cen MT"/>
          <w:sz w:val="24"/>
          <w:szCs w:val="24"/>
        </w:rPr>
        <w:t>berpengaruh</w:t>
      </w:r>
      <w:r>
        <w:rPr>
          <w:rFonts w:ascii="Tw Cen MT" w:cs="Times New Roman" w:hAnsi="Tw Cen MT"/>
          <w:sz w:val="24"/>
          <w:szCs w:val="24"/>
        </w:rPr>
        <w:t xml:space="preserve"> pada </w:t>
      </w:r>
      <w:r>
        <w:rPr>
          <w:rFonts w:ascii="Tw Cen MT" w:cs="Times New Roman" w:hAnsi="Tw Cen MT"/>
          <w:sz w:val="24"/>
          <w:szCs w:val="24"/>
        </w:rPr>
        <w:t>pemenuhan</w:t>
      </w:r>
      <w:r>
        <w:rPr>
          <w:rFonts w:ascii="Tw Cen MT" w:cs="Times New Roman" w:hAnsi="Tw Cen MT"/>
          <w:sz w:val="24"/>
          <w:szCs w:val="24"/>
        </w:rPr>
        <w:t xml:space="preserve"> </w:t>
      </w:r>
      <w:r>
        <w:rPr>
          <w:rFonts w:ascii="Tw Cen MT" w:cs="Times New Roman" w:hAnsi="Tw Cen MT"/>
          <w:sz w:val="24"/>
          <w:szCs w:val="24"/>
        </w:rPr>
        <w:t>kebutuhan</w:t>
      </w:r>
      <w:r>
        <w:rPr>
          <w:rFonts w:ascii="Tw Cen MT" w:cs="Times New Roman" w:hAnsi="Tw Cen MT"/>
          <w:sz w:val="24"/>
          <w:szCs w:val="24"/>
        </w:rPr>
        <w:t xml:space="preserve"> </w:t>
      </w:r>
      <w:r>
        <w:rPr>
          <w:rFonts w:ascii="Tw Cen MT" w:cs="Times New Roman" w:hAnsi="Tw Cen MT"/>
          <w:sz w:val="24"/>
          <w:szCs w:val="24"/>
        </w:rPr>
        <w:t>gizi</w:t>
      </w:r>
      <w:r>
        <w:rPr>
          <w:rFonts w:ascii="Tw Cen MT" w:cs="Times New Roman" w:hAnsi="Tw Cen MT"/>
          <w:sz w:val="24"/>
          <w:szCs w:val="24"/>
        </w:rPr>
        <w:t xml:space="preserve"> </w:t>
      </w:r>
      <w:r>
        <w:rPr>
          <w:rFonts w:ascii="Tw Cen MT" w:cs="Times New Roman" w:hAnsi="Tw Cen MT"/>
          <w:sz w:val="24"/>
          <w:szCs w:val="24"/>
        </w:rPr>
        <w:t>anak</w:t>
      </w:r>
      <w:r>
        <w:rPr>
          <w:rFonts w:ascii="Tw Cen MT" w:cs="Times New Roman" w:hAnsi="Tw Cen MT"/>
          <w:sz w:val="24"/>
          <w:szCs w:val="24"/>
        </w:rPr>
        <w:t>.</w:t>
      </w:r>
    </w:p>
    <w:p>
      <w:pPr>
        <w:pStyle w:val="style0"/>
        <w:spacing w:after="160" w:lineRule="auto" w:line="240"/>
        <w:jc w:val="both"/>
        <w:contextualSpacing/>
        <w:rPr>
          <w:rFonts w:ascii="Tw Cen MT" w:cs="Times New Roman" w:hAnsi="Tw Cen MT"/>
          <w:sz w:val="24"/>
          <w:szCs w:val="24"/>
        </w:rPr>
      </w:pPr>
      <w:r>
        <w:rPr>
          <w:rFonts w:ascii="Tw Cen MT" w:cs="Times New Roman" w:hAnsi="Tw Cen MT"/>
          <w:sz w:val="24"/>
          <w:szCs w:val="24"/>
        </w:rPr>
        <w:t xml:space="preserve">Karena </w:t>
      </w:r>
      <w:r>
        <w:rPr>
          <w:rFonts w:ascii="Tw Cen MT" w:cs="Times New Roman" w:hAnsi="Tw Cen MT"/>
          <w:sz w:val="24"/>
          <w:szCs w:val="24"/>
        </w:rPr>
        <w:t>faktor-faktor</w:t>
      </w:r>
      <w:r>
        <w:rPr>
          <w:rFonts w:ascii="Tw Cen MT" w:cs="Times New Roman" w:hAnsi="Tw Cen MT"/>
          <w:sz w:val="24"/>
          <w:szCs w:val="24"/>
        </w:rPr>
        <w:t xml:space="preserve"> </w:t>
      </w:r>
      <w:r>
        <w:rPr>
          <w:rFonts w:ascii="Tw Cen MT" w:cs="Times New Roman" w:hAnsi="Tw Cen MT"/>
          <w:sz w:val="24"/>
          <w:szCs w:val="24"/>
        </w:rPr>
        <w:t>ini</w:t>
      </w:r>
      <w:r>
        <w:rPr>
          <w:rFonts w:ascii="Tw Cen MT" w:cs="Times New Roman" w:hAnsi="Tw Cen MT"/>
          <w:sz w:val="24"/>
          <w:szCs w:val="24"/>
        </w:rPr>
        <w:t xml:space="preserve"> </w:t>
      </w:r>
      <w:r>
        <w:rPr>
          <w:rFonts w:ascii="Tw Cen MT" w:cs="Times New Roman" w:hAnsi="Tw Cen MT"/>
          <w:sz w:val="24"/>
          <w:szCs w:val="24"/>
        </w:rPr>
        <w:t>lebih</w:t>
      </w:r>
      <w:r>
        <w:rPr>
          <w:rFonts w:ascii="Tw Cen MT" w:cs="Times New Roman" w:hAnsi="Tw Cen MT"/>
          <w:sz w:val="24"/>
          <w:szCs w:val="24"/>
        </w:rPr>
        <w:t xml:space="preserve"> </w:t>
      </w:r>
      <w:r>
        <w:rPr>
          <w:rFonts w:ascii="Tw Cen MT" w:cs="Times New Roman" w:hAnsi="Tw Cen MT"/>
          <w:sz w:val="24"/>
          <w:szCs w:val="24"/>
        </w:rPr>
        <w:t>relevan</w:t>
      </w:r>
      <w:r>
        <w:rPr>
          <w:rFonts w:ascii="Tw Cen MT" w:cs="Times New Roman" w:hAnsi="Tw Cen MT"/>
          <w:sz w:val="24"/>
          <w:szCs w:val="24"/>
        </w:rPr>
        <w:t xml:space="preserve">, </w:t>
      </w:r>
      <w:r>
        <w:rPr>
          <w:rFonts w:ascii="Tw Cen MT" w:cs="Times New Roman" w:hAnsi="Tw Cen MT"/>
          <w:sz w:val="24"/>
          <w:szCs w:val="24"/>
        </w:rPr>
        <w:t>mekanisme</w:t>
      </w:r>
      <w:r>
        <w:rPr>
          <w:rFonts w:ascii="Tw Cen MT" w:cs="Times New Roman" w:hAnsi="Tw Cen MT"/>
          <w:sz w:val="24"/>
          <w:szCs w:val="24"/>
        </w:rPr>
        <w:t xml:space="preserve"> </w:t>
      </w:r>
      <w:r>
        <w:rPr>
          <w:rFonts w:ascii="Tw Cen MT" w:cs="Times New Roman" w:hAnsi="Tw Cen MT"/>
          <w:sz w:val="24"/>
          <w:szCs w:val="24"/>
        </w:rPr>
        <w:t>koping</w:t>
      </w:r>
      <w:r>
        <w:rPr>
          <w:rFonts w:ascii="Tw Cen MT" w:cs="Times New Roman" w:hAnsi="Tw Cen MT"/>
          <w:sz w:val="24"/>
          <w:szCs w:val="24"/>
        </w:rPr>
        <w:t xml:space="preserve"> </w:t>
      </w:r>
      <w:r>
        <w:rPr>
          <w:rFonts w:ascii="Tw Cen MT" w:cs="Times New Roman" w:hAnsi="Tw Cen MT"/>
          <w:sz w:val="24"/>
          <w:szCs w:val="24"/>
        </w:rPr>
        <w:t>keluarga</w:t>
      </w:r>
      <w:r>
        <w:rPr>
          <w:rFonts w:ascii="Tw Cen MT" w:cs="Times New Roman" w:hAnsi="Tw Cen MT"/>
          <w:sz w:val="24"/>
          <w:szCs w:val="24"/>
        </w:rPr>
        <w:t xml:space="preserve"> yang </w:t>
      </w:r>
      <w:r>
        <w:rPr>
          <w:rFonts w:ascii="Tw Cen MT" w:cs="Times New Roman" w:hAnsi="Tw Cen MT"/>
          <w:sz w:val="24"/>
          <w:szCs w:val="24"/>
        </w:rPr>
        <w:t>berfungsi</w:t>
      </w:r>
      <w:r>
        <w:rPr>
          <w:rFonts w:ascii="Tw Cen MT" w:cs="Times New Roman" w:hAnsi="Tw Cen MT"/>
          <w:sz w:val="24"/>
          <w:szCs w:val="24"/>
        </w:rPr>
        <w:t xml:space="preserve"> </w:t>
      </w:r>
      <w:r>
        <w:rPr>
          <w:rFonts w:ascii="Tw Cen MT" w:cs="Times New Roman" w:hAnsi="Tw Cen MT"/>
          <w:sz w:val="24"/>
          <w:szCs w:val="24"/>
        </w:rPr>
        <w:t>untuk</w:t>
      </w:r>
      <w:r>
        <w:rPr>
          <w:rFonts w:ascii="Tw Cen MT" w:cs="Times New Roman" w:hAnsi="Tw Cen MT"/>
          <w:sz w:val="24"/>
          <w:szCs w:val="24"/>
        </w:rPr>
        <w:t xml:space="preserve"> </w:t>
      </w:r>
      <w:r>
        <w:rPr>
          <w:rFonts w:ascii="Tw Cen MT" w:cs="Times New Roman" w:hAnsi="Tw Cen MT"/>
          <w:sz w:val="24"/>
          <w:szCs w:val="24"/>
        </w:rPr>
        <w:t>mengelola</w:t>
      </w:r>
      <w:r>
        <w:rPr>
          <w:rFonts w:ascii="Tw Cen MT" w:cs="Times New Roman" w:hAnsi="Tw Cen MT"/>
          <w:sz w:val="24"/>
          <w:szCs w:val="24"/>
        </w:rPr>
        <w:t xml:space="preserve"> </w:t>
      </w:r>
      <w:r>
        <w:rPr>
          <w:rFonts w:ascii="Tw Cen MT" w:cs="Times New Roman" w:hAnsi="Tw Cen MT"/>
          <w:sz w:val="24"/>
          <w:szCs w:val="24"/>
        </w:rPr>
        <w:t>stres</w:t>
      </w:r>
      <w:r>
        <w:rPr>
          <w:rFonts w:ascii="Tw Cen MT" w:cs="Times New Roman" w:hAnsi="Tw Cen MT"/>
          <w:sz w:val="24"/>
          <w:szCs w:val="24"/>
        </w:rPr>
        <w:t xml:space="preserve"> </w:t>
      </w:r>
      <w:r>
        <w:rPr>
          <w:rFonts w:ascii="Tw Cen MT" w:cs="Times New Roman" w:hAnsi="Tw Cen MT"/>
          <w:sz w:val="24"/>
          <w:szCs w:val="24"/>
        </w:rPr>
        <w:t>atau</w:t>
      </w:r>
      <w:r>
        <w:rPr>
          <w:rFonts w:ascii="Tw Cen MT" w:cs="Times New Roman" w:hAnsi="Tw Cen MT"/>
          <w:sz w:val="24"/>
          <w:szCs w:val="24"/>
        </w:rPr>
        <w:t xml:space="preserve"> </w:t>
      </w:r>
      <w:r>
        <w:rPr>
          <w:rFonts w:ascii="Tw Cen MT" w:cs="Times New Roman" w:hAnsi="Tw Cen MT"/>
          <w:sz w:val="24"/>
          <w:szCs w:val="24"/>
        </w:rPr>
        <w:t>tekanan</w:t>
      </w:r>
      <w:r>
        <w:rPr>
          <w:rFonts w:ascii="Tw Cen MT" w:cs="Times New Roman" w:hAnsi="Tw Cen MT"/>
          <w:sz w:val="24"/>
          <w:szCs w:val="24"/>
        </w:rPr>
        <w:t xml:space="preserve"> </w:t>
      </w:r>
      <w:r>
        <w:rPr>
          <w:rFonts w:ascii="Tw Cen MT" w:cs="Times New Roman" w:hAnsi="Tw Cen MT"/>
          <w:sz w:val="24"/>
          <w:szCs w:val="24"/>
        </w:rPr>
        <w:t>tidak</w:t>
      </w:r>
      <w:r>
        <w:rPr>
          <w:rFonts w:ascii="Tw Cen MT" w:cs="Times New Roman" w:hAnsi="Tw Cen MT"/>
          <w:sz w:val="24"/>
          <w:szCs w:val="24"/>
        </w:rPr>
        <w:t xml:space="preserve"> </w:t>
      </w:r>
      <w:r>
        <w:rPr>
          <w:rFonts w:ascii="Tw Cen MT" w:cs="Times New Roman" w:hAnsi="Tw Cen MT"/>
          <w:sz w:val="24"/>
          <w:szCs w:val="24"/>
        </w:rPr>
        <w:t>cukup</w:t>
      </w:r>
      <w:r>
        <w:rPr>
          <w:rFonts w:ascii="Tw Cen MT" w:cs="Times New Roman" w:hAnsi="Tw Cen MT"/>
          <w:sz w:val="24"/>
          <w:szCs w:val="24"/>
        </w:rPr>
        <w:t xml:space="preserve"> </w:t>
      </w:r>
      <w:r>
        <w:rPr>
          <w:rFonts w:ascii="Tw Cen MT" w:cs="Times New Roman" w:hAnsi="Tw Cen MT"/>
          <w:sz w:val="24"/>
          <w:szCs w:val="24"/>
        </w:rPr>
        <w:t>memberikan</w:t>
      </w:r>
      <w:r>
        <w:rPr>
          <w:rFonts w:ascii="Tw Cen MT" w:cs="Times New Roman" w:hAnsi="Tw Cen MT"/>
          <w:sz w:val="24"/>
          <w:szCs w:val="24"/>
        </w:rPr>
        <w:t xml:space="preserve"> </w:t>
      </w:r>
      <w:r>
        <w:rPr>
          <w:rFonts w:ascii="Tw Cen MT" w:cs="Times New Roman" w:hAnsi="Tw Cen MT"/>
          <w:sz w:val="24"/>
          <w:szCs w:val="24"/>
        </w:rPr>
        <w:t>pengaruh</w:t>
      </w:r>
      <w:r>
        <w:rPr>
          <w:rFonts w:ascii="Tw Cen MT" w:cs="Times New Roman" w:hAnsi="Tw Cen MT"/>
          <w:sz w:val="24"/>
          <w:szCs w:val="24"/>
        </w:rPr>
        <w:t xml:space="preserve"> </w:t>
      </w:r>
      <w:r>
        <w:rPr>
          <w:rFonts w:ascii="Tw Cen MT" w:cs="Times New Roman" w:hAnsi="Tw Cen MT"/>
          <w:sz w:val="24"/>
          <w:szCs w:val="24"/>
        </w:rPr>
        <w:t>langsung</w:t>
      </w:r>
      <w:r>
        <w:rPr>
          <w:rFonts w:ascii="Tw Cen MT" w:cs="Times New Roman" w:hAnsi="Tw Cen MT"/>
          <w:sz w:val="24"/>
          <w:szCs w:val="24"/>
        </w:rPr>
        <w:t xml:space="preserve"> </w:t>
      </w:r>
      <w:r>
        <w:rPr>
          <w:rFonts w:ascii="Tw Cen MT" w:cs="Times New Roman" w:hAnsi="Tw Cen MT"/>
          <w:sz w:val="24"/>
          <w:szCs w:val="24"/>
        </w:rPr>
        <w:t>terhadap</w:t>
      </w:r>
      <w:r>
        <w:rPr>
          <w:rFonts w:ascii="Tw Cen MT" w:cs="Times New Roman" w:hAnsi="Tw Cen MT"/>
          <w:sz w:val="24"/>
          <w:szCs w:val="24"/>
        </w:rPr>
        <w:t xml:space="preserve"> status </w:t>
      </w:r>
      <w:r>
        <w:rPr>
          <w:rFonts w:ascii="Tw Cen MT" w:cs="Times New Roman" w:hAnsi="Tw Cen MT"/>
          <w:sz w:val="24"/>
          <w:szCs w:val="24"/>
        </w:rPr>
        <w:t>gizi</w:t>
      </w:r>
      <w:r>
        <w:rPr>
          <w:rFonts w:ascii="Tw Cen MT" w:cs="Times New Roman" w:hAnsi="Tw Cen MT"/>
          <w:sz w:val="24"/>
          <w:szCs w:val="24"/>
        </w:rPr>
        <w:t xml:space="preserve"> </w:t>
      </w:r>
      <w:r>
        <w:rPr>
          <w:rFonts w:ascii="Tw Cen MT" w:cs="Times New Roman" w:hAnsi="Tw Cen MT"/>
          <w:sz w:val="24"/>
          <w:szCs w:val="24"/>
        </w:rPr>
        <w:t>atau</w:t>
      </w:r>
      <w:r>
        <w:rPr>
          <w:rFonts w:ascii="Tw Cen MT" w:cs="Times New Roman" w:hAnsi="Tw Cen MT"/>
          <w:sz w:val="24"/>
          <w:szCs w:val="24"/>
        </w:rPr>
        <w:t xml:space="preserve"> </w:t>
      </w:r>
      <w:r>
        <w:rPr>
          <w:rFonts w:ascii="Tw Cen MT" w:cs="Times New Roman" w:hAnsi="Tw Cen MT"/>
          <w:sz w:val="24"/>
          <w:szCs w:val="24"/>
        </w:rPr>
        <w:t>pertumbuhan</w:t>
      </w:r>
      <w:r>
        <w:rPr>
          <w:rFonts w:ascii="Tw Cen MT" w:cs="Times New Roman" w:hAnsi="Tw Cen MT"/>
          <w:sz w:val="24"/>
          <w:szCs w:val="24"/>
        </w:rPr>
        <w:t xml:space="preserve"> </w:t>
      </w:r>
      <w:r>
        <w:rPr>
          <w:rFonts w:ascii="Tw Cen MT" w:cs="Times New Roman" w:hAnsi="Tw Cen MT"/>
          <w:sz w:val="24"/>
          <w:szCs w:val="24"/>
        </w:rPr>
        <w:t>anak</w:t>
      </w:r>
      <w:r>
        <w:rPr>
          <w:rFonts w:ascii="Tw Cen MT" w:cs="Times New Roman" w:hAnsi="Tw Cen MT"/>
          <w:sz w:val="24"/>
          <w:szCs w:val="24"/>
        </w:rPr>
        <w:t xml:space="preserve">. </w:t>
      </w:r>
      <w:r>
        <w:rPr>
          <w:rFonts w:ascii="Tw Cen MT" w:cs="Times New Roman" w:hAnsi="Tw Cen MT"/>
          <w:sz w:val="24"/>
          <w:szCs w:val="24"/>
        </w:rPr>
        <w:t xml:space="preserve">Dalam </w:t>
      </w:r>
      <w:r>
        <w:rPr>
          <w:rFonts w:ascii="Tw Cen MT" w:cs="Times New Roman" w:hAnsi="Tw Cen MT"/>
          <w:sz w:val="24"/>
          <w:szCs w:val="24"/>
        </w:rPr>
        <w:t>beberapa</w:t>
      </w:r>
      <w:r>
        <w:rPr>
          <w:rFonts w:ascii="Tw Cen MT" w:cs="Times New Roman" w:hAnsi="Tw Cen MT"/>
          <w:sz w:val="24"/>
          <w:szCs w:val="24"/>
        </w:rPr>
        <w:t xml:space="preserve"> </w:t>
      </w:r>
      <w:r>
        <w:rPr>
          <w:rFonts w:ascii="Tw Cen MT" w:cs="Times New Roman" w:hAnsi="Tw Cen MT"/>
          <w:sz w:val="24"/>
          <w:szCs w:val="24"/>
        </w:rPr>
        <w:t>masyarakat</w:t>
      </w:r>
      <w:r>
        <w:rPr>
          <w:rFonts w:ascii="Tw Cen MT" w:cs="Times New Roman" w:hAnsi="Tw Cen MT"/>
          <w:sz w:val="24"/>
          <w:szCs w:val="24"/>
        </w:rPr>
        <w:t xml:space="preserve">, </w:t>
      </w:r>
      <w:r>
        <w:rPr>
          <w:rFonts w:ascii="Tw Cen MT" w:cs="Times New Roman" w:hAnsi="Tw Cen MT"/>
          <w:sz w:val="24"/>
          <w:szCs w:val="24"/>
        </w:rPr>
        <w:t>kebiasaan</w:t>
      </w:r>
      <w:r>
        <w:rPr>
          <w:rFonts w:ascii="Tw Cen MT" w:cs="Times New Roman" w:hAnsi="Tw Cen MT"/>
          <w:sz w:val="24"/>
          <w:szCs w:val="24"/>
        </w:rPr>
        <w:t xml:space="preserve"> </w:t>
      </w:r>
      <w:r>
        <w:rPr>
          <w:rFonts w:ascii="Tw Cen MT" w:cs="Times New Roman" w:hAnsi="Tw Cen MT"/>
          <w:sz w:val="24"/>
          <w:szCs w:val="24"/>
        </w:rPr>
        <w:t>atau</w:t>
      </w:r>
      <w:r>
        <w:rPr>
          <w:rFonts w:ascii="Tw Cen MT" w:cs="Times New Roman" w:hAnsi="Tw Cen MT"/>
          <w:sz w:val="24"/>
          <w:szCs w:val="24"/>
        </w:rPr>
        <w:t xml:space="preserve"> </w:t>
      </w:r>
      <w:r>
        <w:rPr>
          <w:rFonts w:ascii="Tw Cen MT" w:cs="Times New Roman" w:hAnsi="Tw Cen MT"/>
          <w:sz w:val="24"/>
          <w:szCs w:val="24"/>
        </w:rPr>
        <w:t>budaya</w:t>
      </w:r>
      <w:r>
        <w:rPr>
          <w:rFonts w:ascii="Tw Cen MT" w:cs="Times New Roman" w:hAnsi="Tw Cen MT"/>
          <w:sz w:val="24"/>
          <w:szCs w:val="24"/>
        </w:rPr>
        <w:t xml:space="preserve"> </w:t>
      </w:r>
      <w:r>
        <w:rPr>
          <w:rFonts w:ascii="Tw Cen MT" w:cs="Times New Roman" w:hAnsi="Tw Cen MT"/>
          <w:sz w:val="24"/>
          <w:szCs w:val="24"/>
        </w:rPr>
        <w:t>makan</w:t>
      </w:r>
      <w:r>
        <w:rPr>
          <w:rFonts w:ascii="Tw Cen MT" w:cs="Times New Roman" w:hAnsi="Tw Cen MT"/>
          <w:sz w:val="24"/>
          <w:szCs w:val="24"/>
        </w:rPr>
        <w:t xml:space="preserve"> (</w:t>
      </w:r>
      <w:r>
        <w:rPr>
          <w:rFonts w:ascii="Tw Cen MT" w:cs="Times New Roman" w:hAnsi="Tw Cen MT"/>
          <w:sz w:val="24"/>
          <w:szCs w:val="24"/>
        </w:rPr>
        <w:t>misalnya</w:t>
      </w:r>
      <w:r>
        <w:rPr>
          <w:rFonts w:ascii="Tw Cen MT" w:cs="Times New Roman" w:hAnsi="Tw Cen MT"/>
          <w:sz w:val="24"/>
          <w:szCs w:val="24"/>
        </w:rPr>
        <w:t xml:space="preserve">, </w:t>
      </w:r>
      <w:r>
        <w:rPr>
          <w:rFonts w:ascii="Tw Cen MT" w:cs="Times New Roman" w:hAnsi="Tw Cen MT"/>
          <w:sz w:val="24"/>
          <w:szCs w:val="24"/>
        </w:rPr>
        <w:t>pemberian</w:t>
      </w:r>
      <w:r>
        <w:rPr>
          <w:rFonts w:ascii="Tw Cen MT" w:cs="Times New Roman" w:hAnsi="Tw Cen MT"/>
          <w:sz w:val="24"/>
          <w:szCs w:val="24"/>
        </w:rPr>
        <w:t xml:space="preserve"> </w:t>
      </w:r>
      <w:r>
        <w:rPr>
          <w:rFonts w:ascii="Tw Cen MT" w:cs="Times New Roman" w:hAnsi="Tw Cen MT"/>
          <w:sz w:val="24"/>
          <w:szCs w:val="24"/>
        </w:rPr>
        <w:t>makanan</w:t>
      </w:r>
      <w:r>
        <w:rPr>
          <w:rFonts w:ascii="Tw Cen MT" w:cs="Times New Roman" w:hAnsi="Tw Cen MT"/>
          <w:sz w:val="24"/>
          <w:szCs w:val="24"/>
        </w:rPr>
        <w:t xml:space="preserve"> </w:t>
      </w:r>
      <w:r>
        <w:rPr>
          <w:rFonts w:ascii="Tw Cen MT" w:cs="Times New Roman" w:hAnsi="Tw Cen MT"/>
          <w:sz w:val="24"/>
          <w:szCs w:val="24"/>
        </w:rPr>
        <w:t>padat</w:t>
      </w:r>
      <w:r>
        <w:rPr>
          <w:rFonts w:ascii="Tw Cen MT" w:cs="Times New Roman" w:hAnsi="Tw Cen MT"/>
          <w:sz w:val="24"/>
          <w:szCs w:val="24"/>
        </w:rPr>
        <w:t xml:space="preserve"> </w:t>
      </w:r>
      <w:r>
        <w:rPr>
          <w:rFonts w:ascii="Tw Cen MT" w:cs="Times New Roman" w:hAnsi="Tw Cen MT"/>
          <w:sz w:val="24"/>
          <w:szCs w:val="24"/>
        </w:rPr>
        <w:t>sebelum</w:t>
      </w:r>
      <w:r>
        <w:rPr>
          <w:rFonts w:ascii="Tw Cen MT" w:cs="Times New Roman" w:hAnsi="Tw Cen MT"/>
          <w:sz w:val="24"/>
          <w:szCs w:val="24"/>
        </w:rPr>
        <w:t xml:space="preserve"> </w:t>
      </w:r>
      <w:r>
        <w:rPr>
          <w:rFonts w:ascii="Tw Cen MT" w:cs="Times New Roman" w:hAnsi="Tw Cen MT"/>
          <w:sz w:val="24"/>
          <w:szCs w:val="24"/>
        </w:rPr>
        <w:t>waktunya</w:t>
      </w:r>
      <w:r>
        <w:rPr>
          <w:rFonts w:ascii="Tw Cen MT" w:cs="Times New Roman" w:hAnsi="Tw Cen MT"/>
          <w:sz w:val="24"/>
          <w:szCs w:val="24"/>
        </w:rPr>
        <w:t xml:space="preserve"> </w:t>
      </w:r>
      <w:r>
        <w:rPr>
          <w:rFonts w:ascii="Tw Cen MT" w:cs="Times New Roman" w:hAnsi="Tw Cen MT"/>
          <w:sz w:val="24"/>
          <w:szCs w:val="24"/>
        </w:rPr>
        <w:t>atau</w:t>
      </w:r>
      <w:r>
        <w:rPr>
          <w:rFonts w:ascii="Tw Cen MT" w:cs="Times New Roman" w:hAnsi="Tw Cen MT"/>
          <w:sz w:val="24"/>
          <w:szCs w:val="24"/>
        </w:rPr>
        <w:t xml:space="preserve"> </w:t>
      </w:r>
      <w:r>
        <w:rPr>
          <w:rFonts w:ascii="Tw Cen MT" w:cs="Times New Roman" w:hAnsi="Tw Cen MT"/>
          <w:sz w:val="24"/>
          <w:szCs w:val="24"/>
        </w:rPr>
        <w:t>tidak</w:t>
      </w:r>
      <w:r>
        <w:rPr>
          <w:rFonts w:ascii="Tw Cen MT" w:cs="Times New Roman" w:hAnsi="Tw Cen MT"/>
          <w:sz w:val="24"/>
          <w:szCs w:val="24"/>
        </w:rPr>
        <w:t xml:space="preserve"> </w:t>
      </w:r>
      <w:r>
        <w:rPr>
          <w:rFonts w:ascii="Tw Cen MT" w:cs="Times New Roman" w:hAnsi="Tw Cen MT"/>
          <w:sz w:val="24"/>
          <w:szCs w:val="24"/>
        </w:rPr>
        <w:t>memberikan</w:t>
      </w:r>
      <w:r>
        <w:rPr>
          <w:rFonts w:ascii="Tw Cen MT" w:cs="Times New Roman" w:hAnsi="Tw Cen MT"/>
          <w:sz w:val="24"/>
          <w:szCs w:val="24"/>
        </w:rPr>
        <w:t xml:space="preserve"> ASI </w:t>
      </w:r>
      <w:r>
        <w:rPr>
          <w:rFonts w:ascii="Tw Cen MT" w:cs="Times New Roman" w:hAnsi="Tw Cen MT"/>
          <w:sz w:val="24"/>
          <w:szCs w:val="24"/>
        </w:rPr>
        <w:t>eksklusif</w:t>
      </w:r>
      <w:r>
        <w:rPr>
          <w:rFonts w:ascii="Tw Cen MT" w:cs="Times New Roman" w:hAnsi="Tw Cen MT"/>
          <w:sz w:val="24"/>
          <w:szCs w:val="24"/>
        </w:rPr>
        <w:t xml:space="preserve">) </w:t>
      </w:r>
      <w:r>
        <w:rPr>
          <w:rFonts w:ascii="Tw Cen MT" w:cs="Times New Roman" w:hAnsi="Tw Cen MT"/>
          <w:sz w:val="24"/>
          <w:szCs w:val="24"/>
        </w:rPr>
        <w:t>mungkin</w:t>
      </w:r>
      <w:r>
        <w:rPr>
          <w:rFonts w:ascii="Tw Cen MT" w:cs="Times New Roman" w:hAnsi="Tw Cen MT"/>
          <w:sz w:val="24"/>
          <w:szCs w:val="24"/>
        </w:rPr>
        <w:t xml:space="preserve"> </w:t>
      </w:r>
      <w:r>
        <w:rPr>
          <w:rFonts w:ascii="Tw Cen MT" w:cs="Times New Roman" w:hAnsi="Tw Cen MT"/>
          <w:sz w:val="24"/>
          <w:szCs w:val="24"/>
        </w:rPr>
        <w:t>lebih</w:t>
      </w:r>
      <w:r>
        <w:rPr>
          <w:rFonts w:ascii="Tw Cen MT" w:cs="Times New Roman" w:hAnsi="Tw Cen MT"/>
          <w:sz w:val="24"/>
          <w:szCs w:val="24"/>
        </w:rPr>
        <w:t xml:space="preserve"> </w:t>
      </w:r>
      <w:r>
        <w:rPr>
          <w:rFonts w:ascii="Tw Cen MT" w:cs="Times New Roman" w:hAnsi="Tw Cen MT"/>
          <w:sz w:val="24"/>
          <w:szCs w:val="24"/>
        </w:rPr>
        <w:t>berperan</w:t>
      </w:r>
      <w:r>
        <w:rPr>
          <w:rFonts w:ascii="Tw Cen MT" w:cs="Times New Roman" w:hAnsi="Tw Cen MT"/>
          <w:sz w:val="24"/>
          <w:szCs w:val="24"/>
        </w:rPr>
        <w:t xml:space="preserve"> </w:t>
      </w:r>
      <w:r>
        <w:rPr>
          <w:rFonts w:ascii="Tw Cen MT" w:cs="Times New Roman" w:hAnsi="Tw Cen MT"/>
          <w:sz w:val="24"/>
          <w:szCs w:val="24"/>
        </w:rPr>
        <w:t>dalam</w:t>
      </w:r>
      <w:r>
        <w:rPr>
          <w:rFonts w:ascii="Tw Cen MT" w:cs="Times New Roman" w:hAnsi="Tw Cen MT"/>
          <w:sz w:val="24"/>
          <w:szCs w:val="24"/>
        </w:rPr>
        <w:t xml:space="preserve"> </w:t>
      </w:r>
      <w:r>
        <w:rPr>
          <w:rFonts w:ascii="Tw Cen MT" w:cs="Times New Roman" w:hAnsi="Tw Cen MT"/>
          <w:sz w:val="24"/>
          <w:szCs w:val="24"/>
        </w:rPr>
        <w:t>terjadinya</w:t>
      </w:r>
      <w:r>
        <w:rPr>
          <w:rFonts w:ascii="Tw Cen MT" w:cs="Times New Roman" w:hAnsi="Tw Cen MT"/>
          <w:sz w:val="24"/>
          <w:szCs w:val="24"/>
        </w:rPr>
        <w:t xml:space="preserve"> stunting </w:t>
      </w:r>
      <w:r>
        <w:rPr>
          <w:rFonts w:ascii="Tw Cen MT" w:cs="Times New Roman" w:hAnsi="Tw Cen MT"/>
          <w:sz w:val="24"/>
          <w:szCs w:val="24"/>
        </w:rPr>
        <w:t>dibandingkan</w:t>
      </w:r>
      <w:r>
        <w:rPr>
          <w:rFonts w:ascii="Tw Cen MT" w:cs="Times New Roman" w:hAnsi="Tw Cen MT"/>
          <w:sz w:val="24"/>
          <w:szCs w:val="24"/>
        </w:rPr>
        <w:t xml:space="preserve"> </w:t>
      </w:r>
      <w:r>
        <w:rPr>
          <w:rFonts w:ascii="Tw Cen MT" w:cs="Times New Roman" w:hAnsi="Tw Cen MT"/>
          <w:sz w:val="24"/>
          <w:szCs w:val="24"/>
        </w:rPr>
        <w:t>dengan</w:t>
      </w:r>
      <w:r>
        <w:rPr>
          <w:rFonts w:ascii="Tw Cen MT" w:cs="Times New Roman" w:hAnsi="Tw Cen MT"/>
          <w:sz w:val="24"/>
          <w:szCs w:val="24"/>
        </w:rPr>
        <w:t xml:space="preserve"> strategi </w:t>
      </w:r>
      <w:r>
        <w:rPr>
          <w:rFonts w:ascii="Tw Cen MT" w:cs="Times New Roman" w:hAnsi="Tw Cen MT"/>
          <w:sz w:val="24"/>
          <w:szCs w:val="24"/>
        </w:rPr>
        <w:t>keluarga</w:t>
      </w:r>
      <w:r>
        <w:rPr>
          <w:rFonts w:ascii="Tw Cen MT" w:cs="Times New Roman" w:hAnsi="Tw Cen MT"/>
          <w:sz w:val="24"/>
          <w:szCs w:val="24"/>
        </w:rPr>
        <w:t xml:space="preserve"> </w:t>
      </w:r>
      <w:r>
        <w:rPr>
          <w:rFonts w:ascii="Tw Cen MT" w:cs="Times New Roman" w:hAnsi="Tw Cen MT"/>
          <w:sz w:val="24"/>
          <w:szCs w:val="24"/>
        </w:rPr>
        <w:t>untuk</w:t>
      </w:r>
      <w:r>
        <w:rPr>
          <w:rFonts w:ascii="Tw Cen MT" w:cs="Times New Roman" w:hAnsi="Tw Cen MT"/>
          <w:sz w:val="24"/>
          <w:szCs w:val="24"/>
        </w:rPr>
        <w:t xml:space="preserve"> </w:t>
      </w:r>
      <w:r>
        <w:rPr>
          <w:rFonts w:ascii="Tw Cen MT" w:cs="Times New Roman" w:hAnsi="Tw Cen MT"/>
          <w:sz w:val="24"/>
          <w:szCs w:val="24"/>
        </w:rPr>
        <w:t>mengatasi</w:t>
      </w:r>
      <w:r>
        <w:rPr>
          <w:rFonts w:ascii="Tw Cen MT" w:cs="Times New Roman" w:hAnsi="Tw Cen MT"/>
          <w:sz w:val="24"/>
          <w:szCs w:val="24"/>
        </w:rPr>
        <w:t xml:space="preserve"> </w:t>
      </w:r>
      <w:r>
        <w:rPr>
          <w:rFonts w:ascii="Tw Cen MT" w:cs="Times New Roman" w:hAnsi="Tw Cen MT"/>
          <w:sz w:val="24"/>
          <w:szCs w:val="24"/>
        </w:rPr>
        <w:t>masalah</w:t>
      </w:r>
      <w:r>
        <w:rPr>
          <w:rFonts w:ascii="Tw Cen MT" w:cs="Times New Roman" w:hAnsi="Tw Cen MT"/>
          <w:sz w:val="24"/>
          <w:szCs w:val="24"/>
        </w:rPr>
        <w:t>.</w:t>
      </w:r>
      <w:r>
        <w:rPr>
          <w:rFonts w:ascii="Tw Cen MT" w:cs="Times New Roman" w:hAnsi="Tw Cen MT"/>
          <w:sz w:val="24"/>
          <w:szCs w:val="24"/>
        </w:rPr>
        <w:fldChar w:fldCharType="begin"/>
      </w:r>
      <w:r>
        <w:rPr>
          <w:rFonts w:ascii="Tw Cen MT" w:cs="Times New Roman" w:hAnsi="Tw Cen MT"/>
          <w:sz w:val="24"/>
          <w:szCs w:val="24"/>
        </w:rPr>
        <w:instrText>ADDIN CSL_CITATION {"citationItems":[{"id":"ITEM-1","itemData":{"ISSN":"2622-1705","author":[{"dropping-particle":"","family":"Ningsih","given":"Setia","non-dropping-particle":"","parse-names":false,"suffix":""},{"dropping-particle":"","family":"Puspitasari","given":"Dyah Intan","non-dropping-particle":"","parse-names":false,"suffix":""},{"dropping-particle":"","family":"Isnaeni","given":"Farida Nur","non-dropping-particle":"","parse-names":false,"suffix":""},{"dropping-particle":"","family":"Setiyaningrum","given":"Zulia","non-dropping-particle":"","parse-names":false,"suffix":""}],"container-title":"Pontianak Nutrition Journal (PNJ)","id":"ITEM-1","issue":"2","issued":{"date-parts":[["2023"]]},"title":"Hubungan Praktik Pemberian Makan Dan Hygiene Sanitasi Lingkungan Dengan Kejadian Stunting Pada Balita Usia 24-59 Bulan","type":"article-journal","volume":"6"},"uris":["http://www.mendeley.com/documents/?uuid=448ec3ba-be4b-433d-b4ae-576d13605c4c"]}],"mendeley":{"formattedCitation":"(Ningsih et al. 2023)","plainTextFormattedCitation":"(Ningsih et al. 2023)"},"properties":{"noteIndex":0},"schema":"https://github.com/citation-style-language/schema/raw/master/csl-citation.json"}</w:instrText>
      </w:r>
      <w:r>
        <w:rPr>
          <w:rFonts w:ascii="Tw Cen MT" w:cs="Times New Roman" w:hAnsi="Tw Cen MT"/>
          <w:sz w:val="24"/>
          <w:szCs w:val="24"/>
        </w:rPr>
        <w:fldChar w:fldCharType="separate"/>
      </w:r>
      <w:r>
        <w:rPr>
          <w:rFonts w:ascii="Tw Cen MT" w:cs="Times New Roman" w:hAnsi="Tw Cen MT"/>
          <w:noProof/>
          <w:sz w:val="24"/>
          <w:szCs w:val="24"/>
        </w:rPr>
        <w:t>(Ningsih et al. 2023)</w:t>
      </w:r>
      <w:r>
        <w:rPr>
          <w:rFonts w:ascii="Tw Cen MT" w:cs="Times New Roman" w:hAnsi="Tw Cen MT"/>
          <w:sz w:val="24"/>
          <w:szCs w:val="24"/>
        </w:rPr>
        <w:fldChar w:fldCharType="end"/>
      </w:r>
    </w:p>
    <w:p>
      <w:pPr>
        <w:pStyle w:val="style0"/>
        <w:spacing w:lineRule="auto" w:line="240"/>
        <w:jc w:val="both"/>
        <w:contextualSpacing/>
        <w:rPr>
          <w:rFonts w:ascii="Tw Cen MT" w:cs="Times New Roman" w:hAnsi="Tw Cen MT"/>
          <w:sz w:val="24"/>
          <w:szCs w:val="24"/>
        </w:rPr>
      </w:pPr>
    </w:p>
    <w:p>
      <w:pPr>
        <w:pStyle w:val="style0"/>
        <w:spacing w:lineRule="auto" w:line="240"/>
        <w:jc w:val="both"/>
        <w:contextualSpacing/>
        <w:rPr>
          <w:rFonts w:ascii="Tw Cen MT" w:hAnsi="Tw Cen MT"/>
          <w:sz w:val="24"/>
          <w:szCs w:val="24"/>
        </w:rPr>
      </w:pPr>
      <w:r>
        <w:rPr>
          <w:rFonts w:ascii="Tw Cen MT" w:cs="Times New Roman" w:hAnsi="Tw Cen MT"/>
          <w:sz w:val="24"/>
          <w:szCs w:val="24"/>
        </w:rPr>
        <w:t>Menurut</w:t>
      </w:r>
      <w:r>
        <w:rPr>
          <w:rFonts w:ascii="Tw Cen MT" w:cs="Times New Roman" w:hAnsi="Tw Cen MT"/>
          <w:sz w:val="24"/>
          <w:szCs w:val="24"/>
        </w:rPr>
        <w:t xml:space="preserve"> </w:t>
      </w:r>
      <w:r>
        <w:rPr>
          <w:rFonts w:ascii="Tw Cen MT" w:cs="Times New Roman" w:hAnsi="Tw Cen MT"/>
          <w:sz w:val="24"/>
          <w:szCs w:val="24"/>
        </w:rPr>
        <w:t>penelitian</w:t>
      </w:r>
      <w:r>
        <w:rPr>
          <w:rFonts w:ascii="Tw Cen MT" w:cs="Times New Roman" w:hAnsi="Tw Cen MT"/>
          <w:sz w:val="24"/>
          <w:szCs w:val="24"/>
        </w:rPr>
        <w:t xml:space="preserve"> yang </w:t>
      </w:r>
      <w:r>
        <w:rPr>
          <w:rFonts w:ascii="Tw Cen MT" w:cs="Times New Roman" w:hAnsi="Tw Cen MT"/>
          <w:sz w:val="24"/>
          <w:szCs w:val="24"/>
        </w:rPr>
        <w:t>dilakukan</w:t>
      </w:r>
      <w:r>
        <w:rPr>
          <w:rFonts w:ascii="Tw Cen MT" w:cs="Times New Roman" w:hAnsi="Tw Cen MT"/>
          <w:sz w:val="24"/>
          <w:szCs w:val="24"/>
        </w:rPr>
        <w:t xml:space="preserve"> oleh Salsabila et al (2016) </w:t>
      </w:r>
      <w:r>
        <w:rPr>
          <w:rFonts w:ascii="Tw Cen MT" w:cs="Times New Roman" w:hAnsi="Tw Cen MT"/>
          <w:sz w:val="24"/>
          <w:szCs w:val="24"/>
        </w:rPr>
        <w:t>dalam</w:t>
      </w:r>
      <w:r>
        <w:rPr>
          <w:rFonts w:ascii="Tw Cen MT" w:cs="Times New Roman" w:hAnsi="Tw Cen MT"/>
          <w:sz w:val="24"/>
          <w:szCs w:val="24"/>
        </w:rPr>
        <w:t xml:space="preserve"> (</w:t>
      </w:r>
      <w:r>
        <w:rPr>
          <w:rFonts w:ascii="Tw Cen MT" w:cs="Times New Roman" w:hAnsi="Tw Cen MT"/>
          <w:sz w:val="24"/>
          <w:szCs w:val="24"/>
        </w:rPr>
        <w:t>Hastuti</w:t>
      </w:r>
      <w:r>
        <w:rPr>
          <w:rFonts w:ascii="Tw Cen MT" w:cs="Times New Roman" w:hAnsi="Tw Cen MT"/>
          <w:sz w:val="24"/>
          <w:szCs w:val="24"/>
        </w:rPr>
        <w:t xml:space="preserve">, Suryani, &amp; </w:t>
      </w:r>
      <w:r>
        <w:rPr>
          <w:rFonts w:ascii="Tw Cen MT" w:cs="Times New Roman" w:hAnsi="Tw Cen MT"/>
          <w:sz w:val="24"/>
          <w:szCs w:val="24"/>
        </w:rPr>
        <w:t>Sriati</w:t>
      </w:r>
      <w:r>
        <w:rPr>
          <w:rFonts w:ascii="Tw Cen MT" w:cs="Times New Roman" w:hAnsi="Tw Cen MT"/>
          <w:sz w:val="24"/>
          <w:szCs w:val="24"/>
        </w:rPr>
        <w:t xml:space="preserve">, 2022) </w:t>
      </w:r>
      <w:r>
        <w:rPr>
          <w:rFonts w:ascii="Tw Cen MT" w:cs="Times New Roman" w:hAnsi="Tw Cen MT"/>
          <w:sz w:val="24"/>
          <w:szCs w:val="24"/>
        </w:rPr>
        <w:t>menjelaskan</w:t>
      </w:r>
      <w:r>
        <w:rPr>
          <w:rFonts w:ascii="Tw Cen MT" w:cs="Times New Roman" w:hAnsi="Tw Cen MT"/>
          <w:sz w:val="24"/>
          <w:szCs w:val="24"/>
        </w:rPr>
        <w:t xml:space="preserve"> </w:t>
      </w:r>
      <w:r>
        <w:rPr>
          <w:rFonts w:ascii="Tw Cen MT" w:cs="Times New Roman" w:hAnsi="Tw Cen MT"/>
          <w:sz w:val="24"/>
          <w:szCs w:val="24"/>
        </w:rPr>
        <w:t>bahwa</w:t>
      </w:r>
      <w:r>
        <w:rPr>
          <w:rFonts w:ascii="Tw Cen MT" w:cs="Times New Roman" w:hAnsi="Tw Cen MT"/>
          <w:sz w:val="24"/>
          <w:szCs w:val="24"/>
        </w:rPr>
        <w:t xml:space="preserve"> </w:t>
      </w:r>
      <w:r>
        <w:rPr>
          <w:rFonts w:ascii="Tw Cen MT" w:cs="Times New Roman" w:hAnsi="Tw Cen MT"/>
          <w:sz w:val="24"/>
          <w:szCs w:val="24"/>
        </w:rPr>
        <w:t>faktor</w:t>
      </w:r>
      <w:r>
        <w:rPr>
          <w:rFonts w:ascii="Tw Cen MT" w:cs="Times New Roman" w:hAnsi="Tw Cen MT"/>
          <w:sz w:val="24"/>
          <w:szCs w:val="24"/>
        </w:rPr>
        <w:t xml:space="preserve"> </w:t>
      </w:r>
      <w:r>
        <w:rPr>
          <w:rFonts w:ascii="Tw Cen MT" w:cs="Times New Roman" w:hAnsi="Tw Cen MT"/>
          <w:sz w:val="24"/>
          <w:szCs w:val="24"/>
        </w:rPr>
        <w:t>kondisi</w:t>
      </w:r>
      <w:r>
        <w:rPr>
          <w:rFonts w:ascii="Tw Cen MT" w:cs="Times New Roman" w:hAnsi="Tw Cen MT"/>
          <w:sz w:val="24"/>
          <w:szCs w:val="24"/>
        </w:rPr>
        <w:t xml:space="preserve"> </w:t>
      </w:r>
      <w:r>
        <w:rPr>
          <w:rFonts w:ascii="Tw Cen MT" w:cs="Times New Roman" w:hAnsi="Tw Cen MT"/>
          <w:sz w:val="24"/>
          <w:szCs w:val="24"/>
        </w:rPr>
        <w:t>kesehatan</w:t>
      </w:r>
      <w:r>
        <w:rPr>
          <w:rFonts w:ascii="Tw Cen MT" w:cs="Times New Roman" w:hAnsi="Tw Cen MT"/>
          <w:sz w:val="24"/>
          <w:szCs w:val="24"/>
        </w:rPr>
        <w:t xml:space="preserve"> dan </w:t>
      </w:r>
      <w:r>
        <w:rPr>
          <w:rFonts w:ascii="Tw Cen MT" w:cs="Times New Roman" w:hAnsi="Tw Cen MT"/>
          <w:sz w:val="24"/>
          <w:szCs w:val="24"/>
        </w:rPr>
        <w:t>gizi</w:t>
      </w:r>
      <w:r>
        <w:rPr>
          <w:rFonts w:ascii="Tw Cen MT" w:cs="Times New Roman" w:hAnsi="Tw Cen MT"/>
          <w:sz w:val="24"/>
          <w:szCs w:val="24"/>
        </w:rPr>
        <w:t xml:space="preserve"> </w:t>
      </w:r>
      <w:r>
        <w:rPr>
          <w:rFonts w:ascii="Tw Cen MT" w:cs="Times New Roman" w:hAnsi="Tw Cen MT"/>
          <w:sz w:val="24"/>
          <w:szCs w:val="24"/>
        </w:rPr>
        <w:t>ibu</w:t>
      </w:r>
      <w:r>
        <w:rPr>
          <w:rFonts w:ascii="Tw Cen MT" w:cs="Times New Roman" w:hAnsi="Tw Cen MT"/>
          <w:sz w:val="24"/>
          <w:szCs w:val="24"/>
        </w:rPr>
        <w:t xml:space="preserve"> pada </w:t>
      </w:r>
      <w:r>
        <w:rPr>
          <w:rFonts w:ascii="Tw Cen MT" w:cs="Times New Roman" w:hAnsi="Tw Cen MT"/>
          <w:sz w:val="24"/>
          <w:szCs w:val="24"/>
        </w:rPr>
        <w:t>sebelum</w:t>
      </w:r>
      <w:r>
        <w:rPr>
          <w:rFonts w:ascii="Tw Cen MT" w:cs="Times New Roman" w:hAnsi="Tw Cen MT"/>
          <w:sz w:val="24"/>
          <w:szCs w:val="24"/>
        </w:rPr>
        <w:t xml:space="preserve">, </w:t>
      </w:r>
      <w:r>
        <w:rPr>
          <w:rFonts w:ascii="Tw Cen MT" w:cs="Times New Roman" w:hAnsi="Tw Cen MT"/>
          <w:sz w:val="24"/>
          <w:szCs w:val="24"/>
        </w:rPr>
        <w:t>saat</w:t>
      </w:r>
      <w:r>
        <w:rPr>
          <w:rFonts w:ascii="Tw Cen MT" w:cs="Times New Roman" w:hAnsi="Tw Cen MT"/>
          <w:sz w:val="24"/>
          <w:szCs w:val="24"/>
        </w:rPr>
        <w:t xml:space="preserve"> </w:t>
      </w:r>
      <w:r>
        <w:rPr>
          <w:rFonts w:ascii="Tw Cen MT" w:cs="Times New Roman" w:hAnsi="Tw Cen MT"/>
          <w:sz w:val="24"/>
          <w:szCs w:val="24"/>
        </w:rPr>
        <w:t>hamil</w:t>
      </w:r>
      <w:r>
        <w:rPr>
          <w:rFonts w:ascii="Tw Cen MT" w:cs="Times New Roman" w:hAnsi="Tw Cen MT"/>
          <w:sz w:val="24"/>
          <w:szCs w:val="24"/>
        </w:rPr>
        <w:t xml:space="preserve"> dan </w:t>
      </w:r>
      <w:r>
        <w:rPr>
          <w:rFonts w:ascii="Tw Cen MT" w:cs="Times New Roman" w:hAnsi="Tw Cen MT"/>
          <w:sz w:val="24"/>
          <w:szCs w:val="24"/>
        </w:rPr>
        <w:t>setelah</w:t>
      </w:r>
      <w:r>
        <w:rPr>
          <w:rFonts w:ascii="Tw Cen MT" w:cs="Times New Roman" w:hAnsi="Tw Cen MT"/>
          <w:sz w:val="24"/>
          <w:szCs w:val="24"/>
        </w:rPr>
        <w:t xml:space="preserve"> </w:t>
      </w:r>
      <w:r>
        <w:rPr>
          <w:rFonts w:ascii="Tw Cen MT" w:cs="Times New Roman" w:hAnsi="Tw Cen MT"/>
          <w:sz w:val="24"/>
          <w:szCs w:val="24"/>
        </w:rPr>
        <w:t>persalinan</w:t>
      </w:r>
      <w:r>
        <w:rPr>
          <w:rFonts w:ascii="Tw Cen MT" w:cs="Times New Roman" w:hAnsi="Tw Cen MT"/>
          <w:sz w:val="24"/>
          <w:szCs w:val="24"/>
        </w:rPr>
        <w:t xml:space="preserve"> </w:t>
      </w:r>
      <w:r>
        <w:rPr>
          <w:rFonts w:ascii="Tw Cen MT" w:cs="Times New Roman" w:hAnsi="Tw Cen MT"/>
          <w:sz w:val="24"/>
          <w:szCs w:val="24"/>
        </w:rPr>
        <w:t>dapat</w:t>
      </w:r>
      <w:r>
        <w:rPr>
          <w:rFonts w:ascii="Tw Cen MT" w:cs="Times New Roman" w:hAnsi="Tw Cen MT"/>
          <w:sz w:val="24"/>
          <w:szCs w:val="24"/>
        </w:rPr>
        <w:t xml:space="preserve"> </w:t>
      </w:r>
      <w:r>
        <w:rPr>
          <w:rFonts w:ascii="Tw Cen MT" w:cs="Times New Roman" w:hAnsi="Tw Cen MT"/>
          <w:sz w:val="24"/>
          <w:szCs w:val="24"/>
        </w:rPr>
        <w:t>berpengaruh</w:t>
      </w:r>
      <w:r>
        <w:rPr>
          <w:rFonts w:ascii="Tw Cen MT" w:cs="Times New Roman" w:hAnsi="Tw Cen MT"/>
          <w:sz w:val="24"/>
          <w:szCs w:val="24"/>
        </w:rPr>
        <w:t xml:space="preserve"> </w:t>
      </w:r>
      <w:r>
        <w:rPr>
          <w:rFonts w:ascii="Tw Cen MT" w:cs="Times New Roman" w:hAnsi="Tw Cen MT"/>
          <w:sz w:val="24"/>
          <w:szCs w:val="24"/>
        </w:rPr>
        <w:t>terhadap</w:t>
      </w:r>
      <w:r>
        <w:rPr>
          <w:rFonts w:ascii="Tw Cen MT" w:cs="Times New Roman" w:hAnsi="Tw Cen MT"/>
          <w:sz w:val="24"/>
          <w:szCs w:val="24"/>
        </w:rPr>
        <w:t xml:space="preserve"> </w:t>
      </w:r>
      <w:r>
        <w:rPr>
          <w:rFonts w:ascii="Tw Cen MT" w:cs="Times New Roman" w:hAnsi="Tw Cen MT"/>
          <w:sz w:val="24"/>
          <w:szCs w:val="24"/>
        </w:rPr>
        <w:t>pertumbuhuan</w:t>
      </w:r>
      <w:r>
        <w:rPr>
          <w:rFonts w:ascii="Tw Cen MT" w:cs="Times New Roman" w:hAnsi="Tw Cen MT"/>
          <w:sz w:val="24"/>
          <w:szCs w:val="24"/>
        </w:rPr>
        <w:t xml:space="preserve"> </w:t>
      </w:r>
      <w:r>
        <w:rPr>
          <w:rFonts w:ascii="Tw Cen MT" w:cs="Times New Roman" w:hAnsi="Tw Cen MT"/>
          <w:sz w:val="24"/>
          <w:szCs w:val="24"/>
        </w:rPr>
        <w:t>janin</w:t>
      </w:r>
      <w:r>
        <w:rPr>
          <w:rFonts w:ascii="Tw Cen MT" w:cs="Times New Roman" w:hAnsi="Tw Cen MT"/>
          <w:sz w:val="24"/>
          <w:szCs w:val="24"/>
        </w:rPr>
        <w:t xml:space="preserve"> dan </w:t>
      </w:r>
      <w:r>
        <w:rPr>
          <w:rFonts w:ascii="Tw Cen MT" w:cs="Times New Roman" w:hAnsi="Tw Cen MT"/>
          <w:sz w:val="24"/>
          <w:szCs w:val="24"/>
        </w:rPr>
        <w:t>resiko</w:t>
      </w:r>
      <w:r>
        <w:rPr>
          <w:rFonts w:ascii="Tw Cen MT" w:cs="Times New Roman" w:hAnsi="Tw Cen MT"/>
          <w:sz w:val="24"/>
          <w:szCs w:val="24"/>
        </w:rPr>
        <w:t xml:space="preserve"> </w:t>
      </w:r>
      <w:r>
        <w:rPr>
          <w:rFonts w:ascii="Tw Cen MT" w:cs="Times New Roman" w:hAnsi="Tw Cen MT"/>
          <w:sz w:val="24"/>
          <w:szCs w:val="24"/>
        </w:rPr>
        <w:t>akan</w:t>
      </w:r>
      <w:r>
        <w:rPr>
          <w:rFonts w:ascii="Tw Cen MT" w:cs="Times New Roman" w:hAnsi="Tw Cen MT"/>
          <w:sz w:val="24"/>
          <w:szCs w:val="24"/>
        </w:rPr>
        <w:t xml:space="preserve"> </w:t>
      </w:r>
      <w:r>
        <w:rPr>
          <w:rFonts w:ascii="Tw Cen MT" w:cs="Times New Roman" w:hAnsi="Tw Cen MT"/>
          <w:sz w:val="24"/>
          <w:szCs w:val="24"/>
        </w:rPr>
        <w:t>terjadinya</w:t>
      </w:r>
      <w:r>
        <w:rPr>
          <w:rFonts w:ascii="Tw Cen MT" w:cs="Times New Roman" w:hAnsi="Tw Cen MT"/>
          <w:sz w:val="24"/>
          <w:szCs w:val="24"/>
        </w:rPr>
        <w:t xml:space="preserve"> stunting. Selain </w:t>
      </w:r>
      <w:r>
        <w:rPr>
          <w:rFonts w:ascii="Tw Cen MT" w:cs="Times New Roman" w:hAnsi="Tw Cen MT"/>
          <w:sz w:val="24"/>
          <w:szCs w:val="24"/>
        </w:rPr>
        <w:t>daripada</w:t>
      </w:r>
      <w:r>
        <w:rPr>
          <w:rFonts w:ascii="Tw Cen MT" w:cs="Times New Roman" w:hAnsi="Tw Cen MT"/>
          <w:sz w:val="24"/>
          <w:szCs w:val="24"/>
        </w:rPr>
        <w:t xml:space="preserve"> </w:t>
      </w:r>
      <w:r>
        <w:rPr>
          <w:rFonts w:ascii="Tw Cen MT" w:cs="Times New Roman" w:hAnsi="Tw Cen MT"/>
          <w:sz w:val="24"/>
          <w:szCs w:val="24"/>
        </w:rPr>
        <w:t>faktor</w:t>
      </w:r>
      <w:r>
        <w:rPr>
          <w:rFonts w:ascii="Tw Cen MT" w:cs="Times New Roman" w:hAnsi="Tw Cen MT"/>
          <w:sz w:val="24"/>
          <w:szCs w:val="24"/>
        </w:rPr>
        <w:t xml:space="preserve"> </w:t>
      </w:r>
      <w:r>
        <w:rPr>
          <w:rFonts w:ascii="Tw Cen MT" w:cs="Times New Roman" w:hAnsi="Tw Cen MT"/>
          <w:sz w:val="24"/>
          <w:szCs w:val="24"/>
        </w:rPr>
        <w:t>diatas</w:t>
      </w:r>
      <w:r>
        <w:rPr>
          <w:rFonts w:ascii="Tw Cen MT" w:cs="Times New Roman" w:hAnsi="Tw Cen MT"/>
          <w:sz w:val="24"/>
          <w:szCs w:val="24"/>
        </w:rPr>
        <w:t xml:space="preserve">, </w:t>
      </w:r>
      <w:r>
        <w:rPr>
          <w:rFonts w:ascii="Tw Cen MT" w:cs="Times New Roman" w:hAnsi="Tw Cen MT"/>
          <w:sz w:val="24"/>
          <w:szCs w:val="24"/>
        </w:rPr>
        <w:t>diketahui</w:t>
      </w:r>
      <w:r>
        <w:rPr>
          <w:rFonts w:ascii="Tw Cen MT" w:cs="Times New Roman" w:hAnsi="Tw Cen MT"/>
          <w:sz w:val="24"/>
          <w:szCs w:val="24"/>
        </w:rPr>
        <w:t xml:space="preserve"> pula </w:t>
      </w:r>
      <w:r>
        <w:rPr>
          <w:rFonts w:ascii="Tw Cen MT" w:cs="Times New Roman" w:hAnsi="Tw Cen MT"/>
          <w:sz w:val="24"/>
          <w:szCs w:val="24"/>
        </w:rPr>
        <w:t>faktor</w:t>
      </w:r>
      <w:r>
        <w:rPr>
          <w:rFonts w:ascii="Tw Cen MT" w:cs="Times New Roman" w:hAnsi="Tw Cen MT"/>
          <w:sz w:val="24"/>
          <w:szCs w:val="24"/>
        </w:rPr>
        <w:t xml:space="preserve"> lain yang </w:t>
      </w:r>
      <w:r>
        <w:rPr>
          <w:rFonts w:ascii="Tw Cen MT" w:cs="Times New Roman" w:hAnsi="Tw Cen MT"/>
          <w:sz w:val="24"/>
          <w:szCs w:val="24"/>
        </w:rPr>
        <w:t>dapat</w:t>
      </w:r>
      <w:r>
        <w:rPr>
          <w:rFonts w:ascii="Tw Cen MT" w:cs="Times New Roman" w:hAnsi="Tw Cen MT"/>
          <w:sz w:val="24"/>
          <w:szCs w:val="24"/>
        </w:rPr>
        <w:t xml:space="preserve"> </w:t>
      </w:r>
      <w:r>
        <w:rPr>
          <w:rFonts w:ascii="Tw Cen MT" w:cs="Times New Roman" w:hAnsi="Tw Cen MT"/>
          <w:sz w:val="24"/>
          <w:szCs w:val="24"/>
        </w:rPr>
        <w:t>menyebabkan</w:t>
      </w:r>
      <w:r>
        <w:rPr>
          <w:rFonts w:ascii="Tw Cen MT" w:cs="Times New Roman" w:hAnsi="Tw Cen MT"/>
          <w:sz w:val="24"/>
          <w:szCs w:val="24"/>
        </w:rPr>
        <w:t xml:space="preserve"> </w:t>
      </w:r>
      <w:r>
        <w:rPr>
          <w:rFonts w:ascii="Tw Cen MT" w:cs="Times New Roman" w:hAnsi="Tw Cen MT"/>
          <w:sz w:val="24"/>
          <w:szCs w:val="24"/>
        </w:rPr>
        <w:t>seorang</w:t>
      </w:r>
      <w:r>
        <w:rPr>
          <w:rFonts w:ascii="Tw Cen MT" w:cs="Times New Roman" w:hAnsi="Tw Cen MT"/>
          <w:sz w:val="24"/>
          <w:szCs w:val="24"/>
        </w:rPr>
        <w:t xml:space="preserve"> </w:t>
      </w:r>
      <w:r>
        <w:rPr>
          <w:rFonts w:ascii="Tw Cen MT" w:cs="Times New Roman" w:hAnsi="Tw Cen MT"/>
          <w:sz w:val="24"/>
          <w:szCs w:val="24"/>
        </w:rPr>
        <w:t>anak</w:t>
      </w:r>
      <w:r>
        <w:rPr>
          <w:rFonts w:ascii="Tw Cen MT" w:cs="Times New Roman" w:hAnsi="Tw Cen MT"/>
          <w:sz w:val="24"/>
          <w:szCs w:val="24"/>
        </w:rPr>
        <w:t xml:space="preserve"> </w:t>
      </w:r>
      <w:r>
        <w:rPr>
          <w:rFonts w:ascii="Tw Cen MT" w:cs="Times New Roman" w:hAnsi="Tw Cen MT"/>
          <w:sz w:val="24"/>
          <w:szCs w:val="24"/>
        </w:rPr>
        <w:t>mengalami</w:t>
      </w:r>
      <w:r>
        <w:rPr>
          <w:rFonts w:ascii="Tw Cen MT" w:cs="Times New Roman" w:hAnsi="Tw Cen MT"/>
          <w:sz w:val="24"/>
          <w:szCs w:val="24"/>
        </w:rPr>
        <w:t xml:space="preserve"> stunting, </w:t>
      </w:r>
      <w:r>
        <w:rPr>
          <w:rFonts w:ascii="Tw Cen MT" w:cs="Times New Roman" w:hAnsi="Tw Cen MT"/>
          <w:sz w:val="24"/>
          <w:szCs w:val="24"/>
        </w:rPr>
        <w:t>yakni</w:t>
      </w:r>
      <w:r>
        <w:rPr>
          <w:rFonts w:ascii="Tw Cen MT" w:cs="Times New Roman" w:hAnsi="Tw Cen MT"/>
          <w:sz w:val="24"/>
          <w:szCs w:val="24"/>
        </w:rPr>
        <w:t xml:space="preserve"> </w:t>
      </w:r>
      <w:r>
        <w:rPr>
          <w:rFonts w:ascii="Tw Cen MT" w:cs="Times New Roman" w:hAnsi="Tw Cen MT"/>
          <w:sz w:val="24"/>
          <w:szCs w:val="24"/>
        </w:rPr>
        <w:t>faktor</w:t>
      </w:r>
      <w:r>
        <w:rPr>
          <w:rFonts w:ascii="Tw Cen MT" w:cs="Times New Roman" w:hAnsi="Tw Cen MT"/>
          <w:sz w:val="24"/>
          <w:szCs w:val="24"/>
        </w:rPr>
        <w:t xml:space="preserve"> </w:t>
      </w:r>
      <w:r>
        <w:rPr>
          <w:rFonts w:ascii="Tw Cen MT" w:cs="Times New Roman" w:hAnsi="Tw Cen MT"/>
          <w:sz w:val="24"/>
          <w:szCs w:val="24"/>
        </w:rPr>
        <w:t>kesehatan</w:t>
      </w:r>
      <w:r>
        <w:rPr>
          <w:rFonts w:ascii="Tw Cen MT" w:cs="Times New Roman" w:hAnsi="Tw Cen MT"/>
          <w:sz w:val="24"/>
          <w:szCs w:val="24"/>
        </w:rPr>
        <w:t xml:space="preserve"> mental </w:t>
      </w:r>
      <w:r>
        <w:rPr>
          <w:rFonts w:ascii="Tw Cen MT" w:cs="Times New Roman" w:hAnsi="Tw Cen MT"/>
          <w:sz w:val="24"/>
          <w:szCs w:val="24"/>
        </w:rPr>
        <w:t>ibu</w:t>
      </w:r>
      <w:r>
        <w:rPr>
          <w:rFonts w:ascii="Tw Cen MT" w:cs="Times New Roman" w:hAnsi="Tw Cen MT"/>
          <w:sz w:val="24"/>
          <w:szCs w:val="24"/>
        </w:rPr>
        <w:t xml:space="preserve"> (</w:t>
      </w:r>
      <w:r>
        <w:rPr>
          <w:rFonts w:ascii="Tw Cen MT" w:cs="Times New Roman" w:hAnsi="Tw Cen MT"/>
          <w:sz w:val="24"/>
          <w:szCs w:val="24"/>
        </w:rPr>
        <w:t>Hastuti</w:t>
      </w:r>
      <w:r>
        <w:rPr>
          <w:rFonts w:ascii="Tw Cen MT" w:cs="Times New Roman" w:hAnsi="Tw Cen MT"/>
          <w:sz w:val="24"/>
          <w:szCs w:val="24"/>
        </w:rPr>
        <w:t xml:space="preserve">, Suryani, &amp; </w:t>
      </w:r>
      <w:r>
        <w:rPr>
          <w:rFonts w:ascii="Tw Cen MT" w:cs="Times New Roman" w:hAnsi="Tw Cen MT"/>
          <w:sz w:val="24"/>
          <w:szCs w:val="24"/>
        </w:rPr>
        <w:t>Sriati</w:t>
      </w:r>
      <w:r>
        <w:rPr>
          <w:rFonts w:ascii="Tw Cen MT" w:cs="Times New Roman" w:hAnsi="Tw Cen MT"/>
          <w:sz w:val="24"/>
          <w:szCs w:val="24"/>
        </w:rPr>
        <w:t>, 2022)</w:t>
      </w:r>
    </w:p>
    <w:p>
      <w:pPr>
        <w:pStyle w:val="style0"/>
        <w:spacing w:lineRule="auto" w:line="240"/>
        <w:jc w:val="both"/>
        <w:rPr>
          <w:rFonts w:ascii="Tw Cen MT" w:cs="Twentieth Century" w:eastAsia="Twentieth Century" w:hAnsi="Tw Cen MT"/>
          <w:sz w:val="24"/>
          <w:szCs w:val="24"/>
        </w:rPr>
      </w:pPr>
    </w:p>
    <w:p>
      <w:pPr>
        <w:pStyle w:val="style0"/>
        <w:spacing w:after="0" w:lineRule="auto" w:line="240"/>
        <w:jc w:val="both"/>
        <w:rPr>
          <w:rFonts w:ascii="Tw Cen MT" w:cs="Twentieth Century" w:eastAsia="Twentieth Century" w:hAnsi="Tw Cen MT"/>
        </w:rPr>
      </w:pPr>
      <w:r>
        <w:rPr>
          <w:rFonts w:ascii="Tw Cen MT" w:cs="Twentieth Century" w:eastAsia="Twentieth Century" w:hAnsi="Tw Cen MT"/>
          <w:b/>
          <w:sz w:val="24"/>
          <w:szCs w:val="24"/>
        </w:rPr>
        <w:t>SIMPULAN</w:t>
      </w:r>
    </w:p>
    <w:p>
      <w:pPr>
        <w:pStyle w:val="style0"/>
        <w:spacing w:lineRule="auto" w:line="240"/>
        <w:jc w:val="both"/>
        <w:rPr>
          <w:rFonts w:ascii="Tw Cen MT" w:cs="Twentieth Century" w:eastAsia="Twentieth Century" w:hAnsi="Tw Cen MT"/>
          <w:sz w:val="24"/>
          <w:szCs w:val="24"/>
        </w:rPr>
      </w:pPr>
      <w:r>
        <w:rPr>
          <w:rFonts w:ascii="Tw Cen MT" w:hAnsi="Tw Cen MT"/>
          <w:sz w:val="24"/>
          <w:szCs w:val="24"/>
        </w:rPr>
        <w:t xml:space="preserve">Tidak </w:t>
      </w:r>
      <w:r>
        <w:rPr>
          <w:rFonts w:ascii="Tw Cen MT" w:hAnsi="Tw Cen MT"/>
          <w:sz w:val="24"/>
          <w:szCs w:val="24"/>
        </w:rPr>
        <w:t>terdapat</w:t>
      </w:r>
      <w:r>
        <w:rPr>
          <w:rFonts w:ascii="Tw Cen MT" w:hAnsi="Tw Cen MT"/>
          <w:sz w:val="24"/>
          <w:szCs w:val="24"/>
        </w:rPr>
        <w:t xml:space="preserve"> </w:t>
      </w:r>
      <w:r>
        <w:rPr>
          <w:rFonts w:ascii="Tw Cen MT" w:hAnsi="Tw Cen MT"/>
          <w:sz w:val="24"/>
          <w:szCs w:val="24"/>
        </w:rPr>
        <w:t>hubungan</w:t>
      </w:r>
      <w:r>
        <w:rPr>
          <w:rFonts w:ascii="Tw Cen MT" w:hAnsi="Tw Cen MT"/>
          <w:sz w:val="24"/>
          <w:szCs w:val="24"/>
        </w:rPr>
        <w:t xml:space="preserve"> </w:t>
      </w:r>
      <w:r>
        <w:rPr>
          <w:rFonts w:ascii="Tw Cen MT" w:hAnsi="Tw Cen MT"/>
          <w:sz w:val="24"/>
          <w:szCs w:val="24"/>
        </w:rPr>
        <w:t>antara</w:t>
      </w:r>
      <w:r>
        <w:rPr>
          <w:rFonts w:ascii="Tw Cen MT" w:hAnsi="Tw Cen MT"/>
          <w:sz w:val="24"/>
          <w:szCs w:val="24"/>
        </w:rPr>
        <w:t xml:space="preserve"> </w:t>
      </w:r>
      <w:r>
        <w:rPr>
          <w:rFonts w:ascii="Tw Cen MT" w:hAnsi="Tw Cen MT"/>
          <w:sz w:val="24"/>
          <w:szCs w:val="24"/>
        </w:rPr>
        <w:t>mekanisme</w:t>
      </w:r>
      <w:r>
        <w:rPr>
          <w:rFonts w:ascii="Tw Cen MT" w:hAnsi="Tw Cen MT"/>
          <w:sz w:val="24"/>
          <w:szCs w:val="24"/>
        </w:rPr>
        <w:t xml:space="preserve"> </w:t>
      </w:r>
      <w:r>
        <w:rPr>
          <w:rFonts w:ascii="Tw Cen MT" w:hAnsi="Tw Cen MT"/>
          <w:sz w:val="24"/>
          <w:szCs w:val="24"/>
        </w:rPr>
        <w:t>koping</w:t>
      </w:r>
      <w:r>
        <w:rPr>
          <w:rFonts w:ascii="Tw Cen MT" w:hAnsi="Tw Cen MT"/>
          <w:sz w:val="24"/>
          <w:szCs w:val="24"/>
        </w:rPr>
        <w:t xml:space="preserve"> </w:t>
      </w:r>
      <w:r>
        <w:rPr>
          <w:rFonts w:ascii="Tw Cen MT" w:hAnsi="Tw Cen MT"/>
          <w:sz w:val="24"/>
          <w:szCs w:val="24"/>
        </w:rPr>
        <w:t>keluarga</w:t>
      </w:r>
      <w:r>
        <w:rPr>
          <w:rFonts w:ascii="Tw Cen MT" w:hAnsi="Tw Cen MT"/>
          <w:sz w:val="24"/>
          <w:szCs w:val="24"/>
        </w:rPr>
        <w:t xml:space="preserve"> </w:t>
      </w:r>
      <w:r>
        <w:rPr>
          <w:rFonts w:ascii="Tw Cen MT" w:hAnsi="Tw Cen MT"/>
          <w:sz w:val="24"/>
          <w:szCs w:val="24"/>
        </w:rPr>
        <w:t>dengan</w:t>
      </w:r>
      <w:r>
        <w:rPr>
          <w:rFonts w:ascii="Tw Cen MT" w:hAnsi="Tw Cen MT"/>
          <w:sz w:val="24"/>
          <w:szCs w:val="24"/>
        </w:rPr>
        <w:t xml:space="preserve"> </w:t>
      </w:r>
      <w:r>
        <w:rPr>
          <w:rFonts w:ascii="Tw Cen MT" w:hAnsi="Tw Cen MT"/>
          <w:sz w:val="24"/>
          <w:szCs w:val="24"/>
        </w:rPr>
        <w:t>kejadian</w:t>
      </w:r>
      <w:r>
        <w:rPr>
          <w:rFonts w:ascii="Tw Cen MT" w:hAnsi="Tw Cen MT"/>
          <w:sz w:val="24"/>
          <w:szCs w:val="24"/>
        </w:rPr>
        <w:t xml:space="preserve"> stunting pada </w:t>
      </w:r>
      <w:r>
        <w:rPr>
          <w:rFonts w:ascii="Tw Cen MT" w:hAnsi="Tw Cen MT"/>
          <w:sz w:val="24"/>
          <w:szCs w:val="24"/>
        </w:rPr>
        <w:t>anak</w:t>
      </w:r>
      <w:r>
        <w:rPr>
          <w:rFonts w:ascii="Tw Cen MT" w:hAnsi="Tw Cen MT"/>
          <w:sz w:val="24"/>
          <w:szCs w:val="24"/>
        </w:rPr>
        <w:t xml:space="preserve">. Kesimpulan </w:t>
      </w:r>
      <w:r>
        <w:rPr>
          <w:rFonts w:ascii="Tw Cen MT" w:hAnsi="Tw Cen MT"/>
          <w:sz w:val="24"/>
          <w:szCs w:val="24"/>
        </w:rPr>
        <w:t>ini</w:t>
      </w:r>
      <w:r>
        <w:rPr>
          <w:rFonts w:ascii="Tw Cen MT" w:hAnsi="Tw Cen MT"/>
          <w:sz w:val="24"/>
          <w:szCs w:val="24"/>
        </w:rPr>
        <w:t xml:space="preserve"> </w:t>
      </w:r>
      <w:r>
        <w:rPr>
          <w:rFonts w:ascii="Tw Cen MT" w:hAnsi="Tw Cen MT"/>
          <w:sz w:val="24"/>
          <w:szCs w:val="24"/>
        </w:rPr>
        <w:t>menunjukkan</w:t>
      </w:r>
      <w:r>
        <w:rPr>
          <w:rFonts w:ascii="Tw Cen MT" w:hAnsi="Tw Cen MT"/>
          <w:sz w:val="24"/>
          <w:szCs w:val="24"/>
        </w:rPr>
        <w:t xml:space="preserve"> </w:t>
      </w:r>
      <w:r>
        <w:rPr>
          <w:rFonts w:ascii="Tw Cen MT" w:hAnsi="Tw Cen MT"/>
          <w:sz w:val="24"/>
          <w:szCs w:val="24"/>
        </w:rPr>
        <w:t>bahwa</w:t>
      </w:r>
      <w:r>
        <w:rPr>
          <w:rFonts w:ascii="Tw Cen MT" w:hAnsi="Tw Cen MT"/>
          <w:sz w:val="24"/>
          <w:szCs w:val="24"/>
        </w:rPr>
        <w:t xml:space="preserve"> </w:t>
      </w:r>
      <w:r>
        <w:rPr>
          <w:rFonts w:ascii="Tw Cen MT" w:hAnsi="Tw Cen MT"/>
          <w:sz w:val="24"/>
          <w:szCs w:val="24"/>
        </w:rPr>
        <w:t>cara</w:t>
      </w:r>
      <w:r>
        <w:rPr>
          <w:rFonts w:ascii="Tw Cen MT" w:hAnsi="Tw Cen MT"/>
          <w:sz w:val="24"/>
          <w:szCs w:val="24"/>
        </w:rPr>
        <w:t xml:space="preserve"> </w:t>
      </w:r>
      <w:r>
        <w:rPr>
          <w:rFonts w:ascii="Tw Cen MT" w:hAnsi="Tw Cen MT"/>
          <w:sz w:val="24"/>
          <w:szCs w:val="24"/>
        </w:rPr>
        <w:t>keluarga</w:t>
      </w:r>
      <w:r>
        <w:rPr>
          <w:rFonts w:ascii="Tw Cen MT" w:hAnsi="Tw Cen MT"/>
          <w:sz w:val="24"/>
          <w:szCs w:val="24"/>
        </w:rPr>
        <w:t xml:space="preserve"> </w:t>
      </w:r>
      <w:r>
        <w:rPr>
          <w:rFonts w:ascii="Tw Cen MT" w:hAnsi="Tw Cen MT"/>
          <w:sz w:val="24"/>
          <w:szCs w:val="24"/>
        </w:rPr>
        <w:t>menghadapi</w:t>
      </w:r>
      <w:r>
        <w:rPr>
          <w:rFonts w:ascii="Tw Cen MT" w:hAnsi="Tw Cen MT"/>
          <w:sz w:val="24"/>
          <w:szCs w:val="24"/>
        </w:rPr>
        <w:t xml:space="preserve"> </w:t>
      </w:r>
      <w:r>
        <w:rPr>
          <w:rFonts w:ascii="Tw Cen MT" w:hAnsi="Tw Cen MT"/>
          <w:sz w:val="24"/>
          <w:szCs w:val="24"/>
        </w:rPr>
        <w:t>stres</w:t>
      </w:r>
      <w:r>
        <w:rPr>
          <w:rFonts w:ascii="Tw Cen MT" w:hAnsi="Tw Cen MT"/>
          <w:sz w:val="24"/>
          <w:szCs w:val="24"/>
        </w:rPr>
        <w:t xml:space="preserve"> </w:t>
      </w:r>
      <w:r>
        <w:rPr>
          <w:rFonts w:ascii="Tw Cen MT" w:hAnsi="Tw Cen MT"/>
          <w:sz w:val="24"/>
          <w:szCs w:val="24"/>
        </w:rPr>
        <w:t>atau</w:t>
      </w:r>
      <w:r>
        <w:rPr>
          <w:rFonts w:ascii="Tw Cen MT" w:hAnsi="Tw Cen MT"/>
          <w:sz w:val="24"/>
          <w:szCs w:val="24"/>
        </w:rPr>
        <w:t xml:space="preserve"> </w:t>
      </w:r>
      <w:r>
        <w:rPr>
          <w:rFonts w:ascii="Tw Cen MT" w:hAnsi="Tw Cen MT"/>
          <w:sz w:val="24"/>
          <w:szCs w:val="24"/>
        </w:rPr>
        <w:t>tekanan</w:t>
      </w:r>
      <w:r>
        <w:rPr>
          <w:rFonts w:ascii="Tw Cen MT" w:hAnsi="Tw Cen MT"/>
          <w:sz w:val="24"/>
          <w:szCs w:val="24"/>
        </w:rPr>
        <w:t xml:space="preserve">, </w:t>
      </w:r>
      <w:r>
        <w:rPr>
          <w:rFonts w:ascii="Tw Cen MT" w:hAnsi="Tw Cen MT"/>
          <w:sz w:val="24"/>
          <w:szCs w:val="24"/>
        </w:rPr>
        <w:t>baik</w:t>
      </w:r>
      <w:r>
        <w:rPr>
          <w:rFonts w:ascii="Tw Cen MT" w:hAnsi="Tw Cen MT"/>
          <w:sz w:val="24"/>
          <w:szCs w:val="24"/>
        </w:rPr>
        <w:t xml:space="preserve"> </w:t>
      </w:r>
      <w:r>
        <w:rPr>
          <w:rFonts w:ascii="Tw Cen MT" w:hAnsi="Tw Cen MT"/>
          <w:sz w:val="24"/>
          <w:szCs w:val="24"/>
        </w:rPr>
        <w:t>secara</w:t>
      </w:r>
      <w:r>
        <w:rPr>
          <w:rFonts w:ascii="Tw Cen MT" w:hAnsi="Tw Cen MT"/>
          <w:sz w:val="24"/>
          <w:szCs w:val="24"/>
        </w:rPr>
        <w:t xml:space="preserve"> </w:t>
      </w:r>
      <w:r>
        <w:rPr>
          <w:rFonts w:ascii="Tw Cen MT" w:hAnsi="Tw Cen MT"/>
          <w:sz w:val="24"/>
          <w:szCs w:val="24"/>
        </w:rPr>
        <w:t>emosional</w:t>
      </w:r>
      <w:r>
        <w:rPr>
          <w:rFonts w:ascii="Tw Cen MT" w:hAnsi="Tw Cen MT"/>
          <w:sz w:val="24"/>
          <w:szCs w:val="24"/>
        </w:rPr>
        <w:t xml:space="preserve">, </w:t>
      </w:r>
      <w:r>
        <w:rPr>
          <w:rFonts w:ascii="Tw Cen MT" w:hAnsi="Tw Cen MT"/>
          <w:sz w:val="24"/>
          <w:szCs w:val="24"/>
        </w:rPr>
        <w:t>sosial</w:t>
      </w:r>
      <w:r>
        <w:rPr>
          <w:rFonts w:ascii="Tw Cen MT" w:hAnsi="Tw Cen MT"/>
          <w:sz w:val="24"/>
          <w:szCs w:val="24"/>
        </w:rPr>
        <w:t xml:space="preserve">, </w:t>
      </w:r>
      <w:r>
        <w:rPr>
          <w:rFonts w:ascii="Tw Cen MT" w:hAnsi="Tw Cen MT"/>
          <w:sz w:val="24"/>
          <w:szCs w:val="24"/>
        </w:rPr>
        <w:t>maupun</w:t>
      </w:r>
      <w:r>
        <w:rPr>
          <w:rFonts w:ascii="Tw Cen MT" w:hAnsi="Tw Cen MT"/>
          <w:sz w:val="24"/>
          <w:szCs w:val="24"/>
        </w:rPr>
        <w:t xml:space="preserve"> </w:t>
      </w:r>
      <w:r>
        <w:rPr>
          <w:rFonts w:ascii="Tw Cen MT" w:hAnsi="Tw Cen MT"/>
          <w:sz w:val="24"/>
          <w:szCs w:val="24"/>
        </w:rPr>
        <w:t>ekonomi</w:t>
      </w:r>
      <w:r>
        <w:rPr>
          <w:rFonts w:ascii="Tw Cen MT" w:hAnsi="Tw Cen MT"/>
          <w:sz w:val="24"/>
          <w:szCs w:val="24"/>
        </w:rPr>
        <w:t xml:space="preserve">, </w:t>
      </w:r>
      <w:r>
        <w:rPr>
          <w:rFonts w:ascii="Tw Cen MT" w:hAnsi="Tw Cen MT"/>
          <w:sz w:val="24"/>
          <w:szCs w:val="24"/>
        </w:rPr>
        <w:t>tidak</w:t>
      </w:r>
      <w:r>
        <w:rPr>
          <w:rFonts w:ascii="Tw Cen MT" w:hAnsi="Tw Cen MT"/>
          <w:sz w:val="24"/>
          <w:szCs w:val="24"/>
        </w:rPr>
        <w:t xml:space="preserve"> </w:t>
      </w:r>
      <w:r>
        <w:rPr>
          <w:rFonts w:ascii="Tw Cen MT" w:hAnsi="Tw Cen MT"/>
          <w:sz w:val="24"/>
          <w:szCs w:val="24"/>
        </w:rPr>
        <w:t>secara</w:t>
      </w:r>
      <w:r>
        <w:rPr>
          <w:rFonts w:ascii="Tw Cen MT" w:hAnsi="Tw Cen MT"/>
          <w:sz w:val="24"/>
          <w:szCs w:val="24"/>
        </w:rPr>
        <w:t xml:space="preserve"> </w:t>
      </w:r>
      <w:r>
        <w:rPr>
          <w:rFonts w:ascii="Tw Cen MT" w:hAnsi="Tw Cen MT"/>
          <w:sz w:val="24"/>
          <w:szCs w:val="24"/>
        </w:rPr>
        <w:t>langsung</w:t>
      </w:r>
      <w:r>
        <w:rPr>
          <w:rFonts w:ascii="Tw Cen MT" w:hAnsi="Tw Cen MT"/>
          <w:sz w:val="24"/>
          <w:szCs w:val="24"/>
        </w:rPr>
        <w:t xml:space="preserve"> </w:t>
      </w:r>
      <w:r>
        <w:rPr>
          <w:rFonts w:ascii="Tw Cen MT" w:hAnsi="Tw Cen MT"/>
          <w:sz w:val="24"/>
          <w:szCs w:val="24"/>
        </w:rPr>
        <w:t>memengaruhi</w:t>
      </w:r>
      <w:r>
        <w:rPr>
          <w:rFonts w:ascii="Tw Cen MT" w:hAnsi="Tw Cen MT"/>
          <w:sz w:val="24"/>
          <w:szCs w:val="24"/>
        </w:rPr>
        <w:t xml:space="preserve"> </w:t>
      </w:r>
      <w:r>
        <w:rPr>
          <w:rFonts w:ascii="Tw Cen MT" w:hAnsi="Tw Cen MT"/>
          <w:sz w:val="24"/>
          <w:szCs w:val="24"/>
        </w:rPr>
        <w:t>terjadinya</w:t>
      </w:r>
      <w:r>
        <w:rPr>
          <w:rFonts w:ascii="Tw Cen MT" w:hAnsi="Tw Cen MT"/>
          <w:sz w:val="24"/>
          <w:szCs w:val="24"/>
        </w:rPr>
        <w:t xml:space="preserve"> stunting pada </w:t>
      </w:r>
      <w:r>
        <w:rPr>
          <w:rFonts w:ascii="Tw Cen MT" w:hAnsi="Tw Cen MT"/>
          <w:sz w:val="24"/>
          <w:szCs w:val="24"/>
        </w:rPr>
        <w:t>anak</w:t>
      </w:r>
      <w:r>
        <w:rPr>
          <w:rFonts w:ascii="Tw Cen MT" w:hAnsi="Tw Cen MT"/>
          <w:sz w:val="24"/>
          <w:szCs w:val="24"/>
        </w:rPr>
        <w:t xml:space="preserve">, </w:t>
      </w:r>
      <w:r>
        <w:rPr>
          <w:rFonts w:ascii="Tw Cen MT" w:hAnsi="Tw Cen MT"/>
          <w:sz w:val="24"/>
          <w:szCs w:val="24"/>
        </w:rPr>
        <w:t>meskipun</w:t>
      </w:r>
      <w:r>
        <w:rPr>
          <w:rFonts w:ascii="Tw Cen MT" w:hAnsi="Tw Cen MT"/>
          <w:sz w:val="24"/>
          <w:szCs w:val="24"/>
        </w:rPr>
        <w:t xml:space="preserve"> </w:t>
      </w:r>
      <w:r>
        <w:rPr>
          <w:rFonts w:ascii="Tw Cen MT" w:hAnsi="Tw Cen MT"/>
          <w:sz w:val="24"/>
          <w:szCs w:val="24"/>
        </w:rPr>
        <w:t>penting</w:t>
      </w:r>
      <w:r>
        <w:rPr>
          <w:rFonts w:ascii="Tw Cen MT" w:hAnsi="Tw Cen MT"/>
          <w:sz w:val="24"/>
          <w:szCs w:val="24"/>
        </w:rPr>
        <w:t xml:space="preserve"> </w:t>
      </w:r>
      <w:r>
        <w:rPr>
          <w:rFonts w:ascii="Tw Cen MT" w:hAnsi="Tw Cen MT"/>
          <w:sz w:val="24"/>
          <w:szCs w:val="24"/>
        </w:rPr>
        <w:t>dalam</w:t>
      </w:r>
      <w:r>
        <w:rPr>
          <w:rFonts w:ascii="Tw Cen MT" w:hAnsi="Tw Cen MT"/>
          <w:sz w:val="24"/>
          <w:szCs w:val="24"/>
        </w:rPr>
        <w:t xml:space="preserve"> </w:t>
      </w:r>
      <w:r>
        <w:rPr>
          <w:rFonts w:ascii="Tw Cen MT" w:hAnsi="Tw Cen MT"/>
          <w:sz w:val="24"/>
          <w:szCs w:val="24"/>
        </w:rPr>
        <w:t>konteks</w:t>
      </w:r>
      <w:r>
        <w:rPr>
          <w:rFonts w:ascii="Tw Cen MT" w:hAnsi="Tw Cen MT"/>
          <w:sz w:val="24"/>
          <w:szCs w:val="24"/>
        </w:rPr>
        <w:t xml:space="preserve"> </w:t>
      </w:r>
      <w:r>
        <w:rPr>
          <w:rFonts w:ascii="Tw Cen MT" w:hAnsi="Tw Cen MT"/>
          <w:sz w:val="24"/>
          <w:szCs w:val="24"/>
        </w:rPr>
        <w:t>stabilitas</w:t>
      </w:r>
      <w:r>
        <w:rPr>
          <w:rFonts w:ascii="Tw Cen MT" w:hAnsi="Tw Cen MT"/>
          <w:sz w:val="24"/>
          <w:szCs w:val="24"/>
        </w:rPr>
        <w:t xml:space="preserve"> </w:t>
      </w:r>
      <w:r>
        <w:rPr>
          <w:rFonts w:ascii="Tw Cen MT" w:hAnsi="Tw Cen MT"/>
          <w:sz w:val="24"/>
          <w:szCs w:val="24"/>
        </w:rPr>
        <w:t>emosional</w:t>
      </w:r>
      <w:r>
        <w:rPr>
          <w:rFonts w:ascii="Tw Cen MT" w:hAnsi="Tw Cen MT"/>
          <w:sz w:val="24"/>
          <w:szCs w:val="24"/>
        </w:rPr>
        <w:t xml:space="preserve"> dan </w:t>
      </w:r>
      <w:r>
        <w:rPr>
          <w:rFonts w:ascii="Tw Cen MT" w:hAnsi="Tw Cen MT"/>
          <w:sz w:val="24"/>
          <w:szCs w:val="24"/>
        </w:rPr>
        <w:t>sosial</w:t>
      </w:r>
      <w:r>
        <w:rPr>
          <w:rFonts w:ascii="Tw Cen MT" w:hAnsi="Tw Cen MT"/>
          <w:sz w:val="24"/>
          <w:szCs w:val="24"/>
        </w:rPr>
        <w:t xml:space="preserve">, </w:t>
      </w:r>
      <w:r>
        <w:rPr>
          <w:rFonts w:ascii="Tw Cen MT" w:hAnsi="Tw Cen MT"/>
          <w:sz w:val="24"/>
          <w:szCs w:val="24"/>
        </w:rPr>
        <w:t>mungkin</w:t>
      </w:r>
      <w:r>
        <w:rPr>
          <w:rFonts w:ascii="Tw Cen MT" w:hAnsi="Tw Cen MT"/>
          <w:sz w:val="24"/>
          <w:szCs w:val="24"/>
        </w:rPr>
        <w:t xml:space="preserve"> </w:t>
      </w:r>
      <w:r>
        <w:rPr>
          <w:rFonts w:ascii="Tw Cen MT" w:hAnsi="Tw Cen MT"/>
          <w:sz w:val="24"/>
          <w:szCs w:val="24"/>
        </w:rPr>
        <w:t>tidak</w:t>
      </w:r>
      <w:r>
        <w:rPr>
          <w:rFonts w:ascii="Tw Cen MT" w:hAnsi="Tw Cen MT"/>
          <w:sz w:val="24"/>
          <w:szCs w:val="24"/>
        </w:rPr>
        <w:t xml:space="preserve"> </w:t>
      </w:r>
      <w:r>
        <w:rPr>
          <w:rFonts w:ascii="Tw Cen MT" w:hAnsi="Tw Cen MT"/>
          <w:sz w:val="24"/>
          <w:szCs w:val="24"/>
        </w:rPr>
        <w:t>relevan</w:t>
      </w:r>
      <w:r>
        <w:rPr>
          <w:rFonts w:ascii="Tw Cen MT" w:hAnsi="Tw Cen MT"/>
          <w:sz w:val="24"/>
          <w:szCs w:val="24"/>
        </w:rPr>
        <w:t xml:space="preserve"> </w:t>
      </w:r>
      <w:r>
        <w:rPr>
          <w:rFonts w:ascii="Tw Cen MT" w:hAnsi="Tw Cen MT"/>
          <w:sz w:val="24"/>
          <w:szCs w:val="24"/>
        </w:rPr>
        <w:t>atau</w:t>
      </w:r>
      <w:r>
        <w:rPr>
          <w:rFonts w:ascii="Tw Cen MT" w:hAnsi="Tw Cen MT"/>
          <w:sz w:val="24"/>
          <w:szCs w:val="24"/>
        </w:rPr>
        <w:t xml:space="preserve"> </w:t>
      </w:r>
      <w:r>
        <w:rPr>
          <w:rFonts w:ascii="Tw Cen MT" w:hAnsi="Tw Cen MT"/>
          <w:sz w:val="24"/>
          <w:szCs w:val="24"/>
        </w:rPr>
        <w:t>tidak</w:t>
      </w:r>
      <w:r>
        <w:rPr>
          <w:rFonts w:ascii="Tw Cen MT" w:hAnsi="Tw Cen MT"/>
          <w:sz w:val="24"/>
          <w:szCs w:val="24"/>
        </w:rPr>
        <w:t xml:space="preserve"> </w:t>
      </w:r>
      <w:r>
        <w:rPr>
          <w:rFonts w:ascii="Tw Cen MT" w:hAnsi="Tw Cen MT"/>
          <w:sz w:val="24"/>
          <w:szCs w:val="24"/>
        </w:rPr>
        <w:t>cukup</w:t>
      </w:r>
      <w:r>
        <w:rPr>
          <w:rFonts w:ascii="Tw Cen MT" w:hAnsi="Tw Cen MT"/>
          <w:sz w:val="24"/>
          <w:szCs w:val="24"/>
        </w:rPr>
        <w:t xml:space="preserve"> </w:t>
      </w:r>
      <w:r>
        <w:rPr>
          <w:rFonts w:ascii="Tw Cen MT" w:hAnsi="Tw Cen MT"/>
          <w:sz w:val="24"/>
          <w:szCs w:val="24"/>
        </w:rPr>
        <w:t>kuat</w:t>
      </w:r>
      <w:r>
        <w:rPr>
          <w:rFonts w:ascii="Tw Cen MT" w:hAnsi="Tw Cen MT"/>
          <w:sz w:val="24"/>
          <w:szCs w:val="24"/>
        </w:rPr>
        <w:t xml:space="preserve"> </w:t>
      </w:r>
      <w:r>
        <w:rPr>
          <w:rFonts w:ascii="Tw Cen MT" w:hAnsi="Tw Cen MT"/>
          <w:sz w:val="24"/>
          <w:szCs w:val="24"/>
        </w:rPr>
        <w:t>untuk</w:t>
      </w:r>
      <w:r>
        <w:rPr>
          <w:rFonts w:ascii="Tw Cen MT" w:hAnsi="Tw Cen MT"/>
          <w:sz w:val="24"/>
          <w:szCs w:val="24"/>
        </w:rPr>
        <w:t xml:space="preserve"> </w:t>
      </w:r>
      <w:r>
        <w:rPr>
          <w:rFonts w:ascii="Tw Cen MT" w:hAnsi="Tw Cen MT"/>
          <w:sz w:val="24"/>
          <w:szCs w:val="24"/>
        </w:rPr>
        <w:t>berdampak</w:t>
      </w:r>
      <w:r>
        <w:rPr>
          <w:rFonts w:ascii="Tw Cen MT" w:hAnsi="Tw Cen MT"/>
          <w:sz w:val="24"/>
          <w:szCs w:val="24"/>
        </w:rPr>
        <w:t xml:space="preserve"> pada status </w:t>
      </w:r>
      <w:r>
        <w:rPr>
          <w:rFonts w:ascii="Tw Cen MT" w:hAnsi="Tw Cen MT"/>
          <w:sz w:val="24"/>
          <w:szCs w:val="24"/>
        </w:rPr>
        <w:t>gizi</w:t>
      </w:r>
      <w:r>
        <w:rPr>
          <w:rFonts w:ascii="Tw Cen MT" w:hAnsi="Tw Cen MT"/>
          <w:sz w:val="24"/>
          <w:szCs w:val="24"/>
        </w:rPr>
        <w:t xml:space="preserve"> </w:t>
      </w:r>
      <w:r>
        <w:rPr>
          <w:rFonts w:ascii="Tw Cen MT" w:hAnsi="Tw Cen MT"/>
          <w:sz w:val="24"/>
          <w:szCs w:val="24"/>
        </w:rPr>
        <w:t>anak</w:t>
      </w:r>
      <w:r>
        <w:rPr>
          <w:rFonts w:ascii="Tw Cen MT" w:cs="Twentieth Century" w:eastAsia="Twentieth Century" w:hAnsi="Tw Cen MT"/>
          <w:sz w:val="24"/>
          <w:szCs w:val="24"/>
        </w:rPr>
        <w:t>.</w:t>
      </w:r>
    </w:p>
    <w:p>
      <w:pPr>
        <w:pStyle w:val="style0"/>
        <w:tabs>
          <w:tab w:val="left" w:leader="none" w:pos="426"/>
        </w:tabs>
        <w:spacing w:after="0" w:lineRule="auto" w:line="240"/>
        <w:jc w:val="both"/>
        <w:rPr>
          <w:rFonts w:ascii="Tw Cen MT" w:cs="Twentieth Century" w:eastAsia="Twentieth Century" w:hAnsi="Tw Cen MT"/>
          <w:b/>
          <w:sz w:val="24"/>
          <w:szCs w:val="24"/>
        </w:rPr>
      </w:pPr>
      <w:r>
        <w:rPr>
          <w:rFonts w:ascii="Tw Cen MT" w:cs="Twentieth Century" w:eastAsia="Twentieth Century" w:hAnsi="Tw Cen MT"/>
          <w:b/>
          <w:sz w:val="24"/>
          <w:szCs w:val="24"/>
        </w:rPr>
        <w:t xml:space="preserve">UCAPAN TERIMA KASIH </w:t>
      </w:r>
    </w:p>
    <w:p>
      <w:pPr>
        <w:pStyle w:val="style0"/>
        <w:spacing w:lineRule="auto" w:line="240"/>
        <w:jc w:val="both"/>
        <w:rPr>
          <w:rFonts w:ascii="Tw Cen MT" w:cs="Twentieth Century" w:eastAsia="Twentieth Century" w:hAnsi="Tw Cen MT"/>
          <w:sz w:val="24"/>
          <w:szCs w:val="24"/>
        </w:rPr>
      </w:pPr>
      <w:r>
        <w:rPr>
          <w:rFonts w:ascii="Tw Cen MT" w:hAnsi="Tw Cen MT"/>
          <w:sz w:val="24"/>
          <w:szCs w:val="24"/>
          <w:lang w:val="id-ID"/>
        </w:rPr>
        <w:t xml:space="preserve">Pada kegiatan </w:t>
      </w:r>
      <w:r>
        <w:rPr>
          <w:rFonts w:ascii="Tw Cen MT" w:hAnsi="Tw Cen MT"/>
          <w:sz w:val="24"/>
          <w:szCs w:val="24"/>
          <w:lang w:val="id-ID"/>
        </w:rPr>
        <w:t xml:space="preserve">penelitian </w:t>
      </w:r>
      <w:r>
        <w:rPr>
          <w:rFonts w:ascii="Tw Cen MT" w:hAnsi="Tw Cen MT"/>
          <w:sz w:val="24"/>
          <w:szCs w:val="24"/>
          <w:lang w:val="id-ID"/>
        </w:rPr>
        <w:t xml:space="preserve">ini tim ingin mengucapkan terimakasih kepada beberapa pihak yang telah banyak membantu dalam pelaksanaan penelitian ini, terutama kepeda </w:t>
      </w:r>
      <w:r>
        <w:rPr>
          <w:rFonts w:ascii="Tw Cen MT" w:hAnsi="Tw Cen MT"/>
          <w:sz w:val="24"/>
          <w:szCs w:val="24"/>
          <w:lang w:val="en-ID"/>
        </w:rPr>
        <w:t>Poltekkes</w:t>
      </w:r>
      <w:r>
        <w:rPr>
          <w:rFonts w:ascii="Tw Cen MT" w:hAnsi="Tw Cen MT"/>
          <w:sz w:val="24"/>
          <w:szCs w:val="24"/>
          <w:lang w:val="en-ID"/>
        </w:rPr>
        <w:t xml:space="preserve"> </w:t>
      </w:r>
      <w:r>
        <w:rPr>
          <w:rFonts w:ascii="Tw Cen MT" w:hAnsi="Tw Cen MT"/>
          <w:sz w:val="24"/>
          <w:szCs w:val="24"/>
          <w:lang w:val="en-ID"/>
        </w:rPr>
        <w:t>Kemenkes</w:t>
      </w:r>
      <w:r>
        <w:rPr>
          <w:rFonts w:ascii="Tw Cen MT" w:hAnsi="Tw Cen MT"/>
          <w:sz w:val="24"/>
          <w:szCs w:val="24"/>
          <w:lang w:val="en-ID"/>
        </w:rPr>
        <w:t xml:space="preserve"> Riau dan</w:t>
      </w:r>
      <w:r>
        <w:rPr>
          <w:rFonts w:ascii="Tw Cen MT" w:hAnsi="Tw Cen MT"/>
          <w:sz w:val="24"/>
          <w:szCs w:val="24"/>
          <w:lang w:val="id-ID"/>
        </w:rPr>
        <w:t xml:space="preserve"> pihak Puskesmas Pekan heran yang telah memberikan izin untuk pelaksanaan </w:t>
      </w:r>
      <w:r>
        <w:rPr>
          <w:rFonts w:ascii="Tw Cen MT" w:hAnsi="Tw Cen MT"/>
          <w:sz w:val="24"/>
          <w:szCs w:val="24"/>
        </w:rPr>
        <w:t>kegiatan</w:t>
      </w:r>
      <w:r>
        <w:rPr>
          <w:rFonts w:ascii="Tw Cen MT" w:hAnsi="Tw Cen MT"/>
          <w:sz w:val="24"/>
          <w:szCs w:val="24"/>
        </w:rPr>
        <w:t xml:space="preserve"> </w:t>
      </w:r>
      <w:r>
        <w:rPr>
          <w:rFonts w:ascii="Tw Cen MT" w:hAnsi="Tw Cen MT"/>
          <w:sz w:val="24"/>
          <w:szCs w:val="24"/>
        </w:rPr>
        <w:t>pengabmas</w:t>
      </w:r>
      <w:r>
        <w:rPr>
          <w:rFonts w:ascii="Tw Cen MT" w:hAnsi="Tw Cen MT"/>
          <w:sz w:val="24"/>
          <w:szCs w:val="24"/>
        </w:rPr>
        <w:t xml:space="preserve"> </w:t>
      </w:r>
      <w:r>
        <w:rPr>
          <w:rFonts w:ascii="Tw Cen MT" w:hAnsi="Tw Cen MT"/>
          <w:sz w:val="24"/>
          <w:szCs w:val="24"/>
          <w:lang w:val="id-ID"/>
        </w:rPr>
        <w:t xml:space="preserve">ini, kemudian terimakasih kepada </w:t>
      </w:r>
      <w:r>
        <w:rPr>
          <w:rFonts w:ascii="Tw Cen MT" w:hAnsi="Tw Cen MT"/>
          <w:sz w:val="24"/>
          <w:szCs w:val="24"/>
        </w:rPr>
        <w:t>responden</w:t>
      </w:r>
      <w:r>
        <w:rPr>
          <w:rFonts w:ascii="Tw Cen MT" w:hAnsi="Tw Cen MT"/>
          <w:sz w:val="24"/>
          <w:szCs w:val="24"/>
        </w:rPr>
        <w:t xml:space="preserve"> di </w:t>
      </w:r>
      <w:r>
        <w:rPr>
          <w:rFonts w:ascii="Tw Cen MT" w:hAnsi="Tw Cen MT"/>
          <w:sz w:val="24"/>
          <w:szCs w:val="24"/>
        </w:rPr>
        <w:t xml:space="preserve">Desa </w:t>
      </w:r>
      <w:r>
        <w:rPr>
          <w:rFonts w:ascii="Tw Cen MT" w:hAnsi="Tw Cen MT"/>
          <w:sz w:val="24"/>
          <w:szCs w:val="24"/>
        </w:rPr>
        <w:t xml:space="preserve">Air </w:t>
      </w:r>
      <w:r>
        <w:rPr>
          <w:rFonts w:ascii="Tw Cen MT" w:hAnsi="Tw Cen MT"/>
          <w:sz w:val="24"/>
          <w:szCs w:val="24"/>
        </w:rPr>
        <w:t>Jernih</w:t>
      </w:r>
      <w:r>
        <w:rPr>
          <w:rFonts w:ascii="Tw Cen MT" w:hAnsi="Tw Cen MT"/>
          <w:sz w:val="24"/>
          <w:szCs w:val="24"/>
        </w:rPr>
        <w:t xml:space="preserve"> </w:t>
      </w:r>
      <w:r>
        <w:rPr>
          <w:rFonts w:ascii="Tw Cen MT" w:hAnsi="Tw Cen MT"/>
          <w:sz w:val="24"/>
          <w:szCs w:val="24"/>
          <w:lang w:val="id-ID"/>
        </w:rPr>
        <w:t xml:space="preserve">yang telah bersedia untuk terlibat dalam </w:t>
      </w:r>
      <w:r>
        <w:rPr>
          <w:rFonts w:ascii="Tw Cen MT" w:hAnsi="Tw Cen MT"/>
          <w:sz w:val="24"/>
          <w:szCs w:val="24"/>
        </w:rPr>
        <w:t>kegiatan</w:t>
      </w:r>
      <w:r>
        <w:rPr>
          <w:rFonts w:ascii="Tw Cen MT" w:hAnsi="Tw Cen MT"/>
          <w:sz w:val="24"/>
          <w:szCs w:val="24"/>
        </w:rPr>
        <w:t xml:space="preserve"> </w:t>
      </w:r>
      <w:r>
        <w:rPr>
          <w:rFonts w:ascii="Tw Cen MT" w:hAnsi="Tw Cen MT"/>
          <w:sz w:val="24"/>
          <w:szCs w:val="24"/>
        </w:rPr>
        <w:t>pen</w:t>
      </w:r>
      <w:r>
        <w:rPr>
          <w:rFonts w:ascii="Tw Cen MT" w:hAnsi="Tw Cen MT"/>
          <w:sz w:val="24"/>
          <w:szCs w:val="24"/>
        </w:rPr>
        <w:t>elitian</w:t>
      </w:r>
      <w:r>
        <w:rPr>
          <w:rFonts w:ascii="Tw Cen MT" w:hAnsi="Tw Cen MT"/>
          <w:sz w:val="24"/>
          <w:szCs w:val="24"/>
        </w:rPr>
        <w:t xml:space="preserve"> </w:t>
      </w:r>
      <w:r>
        <w:rPr>
          <w:rFonts w:ascii="Tw Cen MT" w:hAnsi="Tw Cen MT"/>
          <w:sz w:val="24"/>
          <w:szCs w:val="24"/>
          <w:lang w:val="id-ID"/>
        </w:rPr>
        <w:t>ini. Kemudian kepada tim peneliti yang memberikan sumbangan pikiran dan tenaga dalam pelaksanaan penelitian</w:t>
      </w:r>
      <w:r>
        <w:rPr>
          <w:rFonts w:ascii="Tw Cen MT" w:cs="Twentieth Century" w:eastAsia="Twentieth Century" w:hAnsi="Tw Cen MT"/>
          <w:sz w:val="24"/>
          <w:szCs w:val="24"/>
        </w:rPr>
        <w:t>.</w:t>
      </w:r>
    </w:p>
    <w:p>
      <w:pPr>
        <w:pStyle w:val="style0"/>
        <w:spacing w:lineRule="auto" w:line="240"/>
        <w:jc w:val="both"/>
        <w:rPr>
          <w:rFonts w:ascii="Tw Cen MT" w:cs="Twentieth Century" w:eastAsia="Twentieth Century" w:hAnsi="Tw Cen MT"/>
          <w:sz w:val="24"/>
          <w:szCs w:val="24"/>
        </w:rPr>
      </w:pPr>
    </w:p>
    <w:commentRangeStart w:id="4"/>
    <w:p>
      <w:pPr>
        <w:pStyle w:val="style0"/>
        <w:tabs>
          <w:tab w:val="left" w:leader="none" w:pos="426"/>
        </w:tabs>
        <w:spacing w:after="0" w:lineRule="auto" w:line="240"/>
        <w:jc w:val="both"/>
        <w:rPr>
          <w:rFonts w:ascii="Tw Cen MT" w:cs="Twentieth Century" w:eastAsia="Twentieth Century" w:hAnsi="Tw Cen MT"/>
          <w:b/>
          <w:sz w:val="24"/>
          <w:szCs w:val="24"/>
        </w:rPr>
      </w:pPr>
      <w:r>
        <w:rPr>
          <w:rFonts w:ascii="Tw Cen MT" w:cs="Twentieth Century" w:eastAsia="Twentieth Century" w:hAnsi="Tw Cen MT"/>
          <w:b/>
          <w:sz w:val="24"/>
          <w:szCs w:val="24"/>
        </w:rPr>
        <w:t>DAFTAR</w:t>
      </w:r>
      <w:commentRangeEnd w:id="4"/>
      <w:r>
        <w:rPr/>
        <w:commentReference w:id="4"/>
      </w:r>
      <w:r>
        <w:rPr>
          <w:rFonts w:ascii="Tw Cen MT" w:cs="Twentieth Century" w:eastAsia="Twentieth Century" w:hAnsi="Tw Cen MT"/>
          <w:b/>
          <w:sz w:val="24"/>
          <w:szCs w:val="24"/>
        </w:rPr>
        <w:t xml:space="preserve"> PUSTAKA</w:t>
      </w:r>
    </w:p>
    <w:p>
      <w:pPr>
        <w:pStyle w:val="style179"/>
        <w:numPr>
          <w:ilvl w:val="0"/>
          <w:numId w:val="13"/>
        </w:numPr>
        <w:spacing w:after="160" w:lineRule="auto" w:line="259"/>
        <w:ind w:left="426"/>
        <w:rPr>
          <w:rFonts w:ascii="Times New Roman" w:hAnsi="Times New Roman"/>
          <w:sz w:val="24"/>
          <w:szCs w:val="24"/>
        </w:rPr>
      </w:pPr>
      <w:r>
        <w:rPr>
          <w:rFonts w:ascii="Times New Roman" w:hAnsi="Times New Roman"/>
          <w:sz w:val="24"/>
          <w:szCs w:val="24"/>
        </w:rPr>
        <w:t xml:space="preserve">Kementerian Kesehatan Republik Indonesia. (2019). </w:t>
      </w:r>
      <w:r>
        <w:rPr>
          <w:rFonts w:ascii="Times New Roman" w:hAnsi="Times New Roman"/>
          <w:sz w:val="24"/>
          <w:szCs w:val="24"/>
        </w:rPr>
        <w:t>Profil</w:t>
      </w:r>
      <w:r>
        <w:rPr>
          <w:rFonts w:ascii="Times New Roman" w:hAnsi="Times New Roman"/>
          <w:sz w:val="24"/>
          <w:szCs w:val="24"/>
        </w:rPr>
        <w:t xml:space="preserve"> Kesehatan Indonesia </w:t>
      </w:r>
      <w:r>
        <w:rPr>
          <w:rFonts w:ascii="Times New Roman" w:hAnsi="Times New Roman"/>
          <w:sz w:val="24"/>
          <w:szCs w:val="24"/>
        </w:rPr>
        <w:t>Tahun</w:t>
      </w:r>
      <w:r>
        <w:rPr>
          <w:rFonts w:ascii="Times New Roman" w:hAnsi="Times New Roman"/>
          <w:sz w:val="24"/>
          <w:szCs w:val="24"/>
        </w:rPr>
        <w:t xml:space="preserve"> 2018. Jakarta: Kementerian Kesehatan Republik Indonesia.</w:t>
      </w:r>
    </w:p>
    <w:p>
      <w:pPr>
        <w:pStyle w:val="style0"/>
        <w:numPr>
          <w:ilvl w:val="0"/>
          <w:numId w:val="13"/>
        </w:numPr>
        <w:spacing w:before="120" w:after="0" w:lineRule="auto" w:line="240"/>
        <w:ind w:left="360"/>
        <w:jc w:val="both"/>
        <w:rPr>
          <w:rFonts w:ascii="Times New Roman" w:cs="Arial" w:eastAsia="Calibri" w:hAnsi="Times New Roman"/>
          <w:sz w:val="24"/>
          <w:szCs w:val="22"/>
        </w:rPr>
      </w:pPr>
      <w:r>
        <w:rPr>
          <w:rFonts w:ascii="Times New Roman" w:cs="Times New Roman" w:eastAsia="Calibri" w:hAnsi="Times New Roman"/>
          <w:sz w:val="24"/>
          <w:szCs w:val="24"/>
        </w:rPr>
        <w:t>Sari, D. K., Rahmawati, Y., &amp; Wahyuni, F. (2020). Faktor-</w:t>
      </w:r>
      <w:r>
        <w:rPr>
          <w:rFonts w:ascii="Times New Roman" w:cs="Times New Roman" w:eastAsia="Calibri" w:hAnsi="Times New Roman"/>
          <w:sz w:val="24"/>
          <w:szCs w:val="24"/>
        </w:rPr>
        <w:t>faktor</w:t>
      </w:r>
      <w:r>
        <w:rPr>
          <w:rFonts w:ascii="Times New Roman" w:cs="Times New Roman" w:eastAsia="Calibri" w:hAnsi="Times New Roman"/>
          <w:sz w:val="24"/>
          <w:szCs w:val="24"/>
        </w:rPr>
        <w:t xml:space="preserve"> yang </w:t>
      </w:r>
      <w:r>
        <w:rPr>
          <w:rFonts w:ascii="Times New Roman" w:cs="Times New Roman" w:eastAsia="Calibri" w:hAnsi="Times New Roman"/>
          <w:sz w:val="24"/>
          <w:szCs w:val="24"/>
        </w:rPr>
        <w:t>Berhubungan</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dengan</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Kejadian</w:t>
      </w:r>
      <w:r>
        <w:rPr>
          <w:rFonts w:ascii="Times New Roman" w:cs="Times New Roman" w:eastAsia="Calibri" w:hAnsi="Times New Roman"/>
          <w:sz w:val="24"/>
          <w:szCs w:val="24"/>
        </w:rPr>
        <w:t xml:space="preserve"> Stunting pada Anak di Indonesia. </w:t>
      </w:r>
      <w:r>
        <w:rPr>
          <w:rFonts w:ascii="Times New Roman" w:cs="Times New Roman" w:eastAsia="Calibri" w:hAnsi="Times New Roman"/>
          <w:sz w:val="24"/>
          <w:szCs w:val="24"/>
        </w:rPr>
        <w:t>Jurnal</w:t>
      </w:r>
      <w:r>
        <w:rPr>
          <w:rFonts w:ascii="Times New Roman" w:cs="Times New Roman" w:eastAsia="Calibri" w:hAnsi="Times New Roman"/>
          <w:sz w:val="24"/>
          <w:szCs w:val="24"/>
        </w:rPr>
        <w:t xml:space="preserve"> Kesehatan </w:t>
      </w:r>
      <w:r>
        <w:rPr>
          <w:rFonts w:ascii="Times New Roman" w:cs="Times New Roman" w:eastAsia="Calibri" w:hAnsi="Times New Roman"/>
          <w:sz w:val="24"/>
          <w:szCs w:val="24"/>
        </w:rPr>
        <w:t>Reproduksi</w:t>
      </w:r>
      <w:r>
        <w:rPr>
          <w:rFonts w:ascii="Times New Roman" w:cs="Times New Roman" w:eastAsia="Calibri" w:hAnsi="Times New Roman"/>
          <w:sz w:val="24"/>
          <w:szCs w:val="24"/>
        </w:rPr>
        <w:t>, 11(1), 29-40</w:t>
      </w:r>
    </w:p>
    <w:p>
      <w:pPr>
        <w:pStyle w:val="style0"/>
        <w:spacing w:before="120" w:after="0" w:lineRule="auto" w:line="240"/>
        <w:ind w:left="360"/>
        <w:jc w:val="both"/>
        <w:rPr>
          <w:rFonts w:ascii="Times New Roman" w:cs="Arial" w:eastAsia="Calibri" w:hAnsi="Times New Roman"/>
          <w:sz w:val="24"/>
        </w:rPr>
      </w:pPr>
    </w:p>
    <w:p>
      <w:pPr>
        <w:pStyle w:val="style0"/>
        <w:numPr>
          <w:ilvl w:val="0"/>
          <w:numId w:val="13"/>
        </w:numPr>
        <w:spacing w:after="0" w:lineRule="auto" w:line="240"/>
        <w:ind w:left="360"/>
        <w:jc w:val="both"/>
        <w:contextualSpacing/>
        <w:rPr>
          <w:rFonts w:ascii="Times New Roman" w:cs="Arial" w:eastAsia="Calibri" w:hAnsi="Times New Roman"/>
          <w:sz w:val="24"/>
        </w:rPr>
      </w:pPr>
      <w:r>
        <w:rPr>
          <w:rFonts w:ascii="Times New Roman" w:cs="Times New Roman" w:eastAsia="Calibri" w:hAnsi="Times New Roman"/>
          <w:sz w:val="24"/>
          <w:szCs w:val="24"/>
        </w:rPr>
        <w:t>De Onis, M., &amp; Branca, F. (2016). Childhood stunting: a global perspective. Maternal &amp; Child Nutrition, 12(S1), 12-26</w:t>
      </w:r>
    </w:p>
    <w:p>
      <w:pPr>
        <w:pStyle w:val="style0"/>
        <w:spacing w:after="0" w:lineRule="auto" w:line="240"/>
        <w:ind w:left="360"/>
        <w:jc w:val="both"/>
        <w:contextualSpacing/>
        <w:rPr>
          <w:rFonts w:ascii="Times New Roman" w:cs="Arial" w:eastAsia="Calibri" w:hAnsi="Times New Roman"/>
          <w:sz w:val="24"/>
          <w:szCs w:val="22"/>
        </w:rPr>
      </w:pPr>
    </w:p>
    <w:p>
      <w:pPr>
        <w:pStyle w:val="style0"/>
        <w:numPr>
          <w:ilvl w:val="0"/>
          <w:numId w:val="13"/>
        </w:numPr>
        <w:spacing w:after="0" w:lineRule="auto" w:line="240"/>
        <w:ind w:left="360"/>
        <w:jc w:val="both"/>
        <w:contextualSpacing/>
        <w:rPr>
          <w:rFonts w:ascii="Times New Roman" w:cs="Arial" w:eastAsia="Calibri" w:hAnsi="Times New Roman"/>
          <w:sz w:val="24"/>
        </w:rPr>
      </w:pPr>
      <w:r>
        <w:rPr>
          <w:rFonts w:ascii="Times New Roman" w:cs="Times New Roman" w:eastAsia="Calibri" w:hAnsi="Times New Roman"/>
          <w:sz w:val="24"/>
          <w:szCs w:val="24"/>
        </w:rPr>
        <w:t>Aryastami</w:t>
      </w:r>
      <w:r>
        <w:rPr>
          <w:rFonts w:ascii="Times New Roman" w:cs="Times New Roman" w:eastAsia="Calibri" w:hAnsi="Times New Roman"/>
          <w:sz w:val="24"/>
          <w:szCs w:val="24"/>
        </w:rPr>
        <w:t xml:space="preserve">, N. K., Shankar, A. H., </w:t>
      </w:r>
      <w:r>
        <w:rPr>
          <w:rFonts w:ascii="Times New Roman" w:cs="Times New Roman" w:eastAsia="Calibri" w:hAnsi="Times New Roman"/>
          <w:sz w:val="24"/>
          <w:szCs w:val="24"/>
        </w:rPr>
        <w:t>Sulistyowati</w:t>
      </w:r>
      <w:r>
        <w:rPr>
          <w:rFonts w:ascii="Times New Roman" w:cs="Times New Roman" w:eastAsia="Calibri" w:hAnsi="Times New Roman"/>
          <w:sz w:val="24"/>
          <w:szCs w:val="24"/>
        </w:rPr>
        <w:t xml:space="preserve">, M., &amp; </w:t>
      </w:r>
      <w:r>
        <w:rPr>
          <w:rFonts w:ascii="Times New Roman" w:cs="Times New Roman" w:eastAsia="Calibri" w:hAnsi="Times New Roman"/>
          <w:sz w:val="24"/>
          <w:szCs w:val="24"/>
        </w:rPr>
        <w:t>Laillou</w:t>
      </w:r>
      <w:r>
        <w:rPr>
          <w:rFonts w:ascii="Times New Roman" w:cs="Times New Roman" w:eastAsia="Calibri" w:hAnsi="Times New Roman"/>
          <w:sz w:val="24"/>
          <w:szCs w:val="24"/>
        </w:rPr>
        <w:t>, A. (2017). Nutrition-sensitive social protection programs and stunting in young children: A review of evidence from Indonesia. Food and Nutrition Bulletin, 38(2), 171-198.</w:t>
      </w:r>
    </w:p>
    <w:p>
      <w:pPr>
        <w:pStyle w:val="style0"/>
        <w:spacing w:after="0" w:lineRule="auto" w:line="240"/>
        <w:ind w:left="360"/>
        <w:jc w:val="both"/>
        <w:contextualSpacing/>
        <w:rPr>
          <w:rFonts w:ascii="Times New Roman" w:cs="Arial" w:eastAsia="Calibri" w:hAnsi="Times New Roman"/>
          <w:sz w:val="24"/>
          <w:szCs w:val="22"/>
        </w:rPr>
      </w:pPr>
    </w:p>
    <w:p>
      <w:pPr>
        <w:pStyle w:val="style0"/>
        <w:numPr>
          <w:ilvl w:val="0"/>
          <w:numId w:val="13"/>
        </w:numPr>
        <w:spacing w:after="0" w:lineRule="auto" w:line="240"/>
        <w:ind w:left="360"/>
        <w:jc w:val="both"/>
        <w:contextualSpacing/>
        <w:rPr>
          <w:rFonts w:ascii="Times New Roman" w:cs="Arial" w:eastAsia="Calibri" w:hAnsi="Times New Roman"/>
          <w:sz w:val="24"/>
        </w:rPr>
      </w:pPr>
      <w:r>
        <w:rPr>
          <w:rFonts w:ascii="Times New Roman" w:cs="Times New Roman" w:eastAsia="Calibri" w:hAnsi="Times New Roman"/>
          <w:sz w:val="24"/>
          <w:szCs w:val="24"/>
        </w:rPr>
        <w:t xml:space="preserve">Kurniawan, Y., &amp; </w:t>
      </w:r>
      <w:r>
        <w:rPr>
          <w:rFonts w:ascii="Times New Roman" w:cs="Times New Roman" w:eastAsia="Calibri" w:hAnsi="Times New Roman"/>
          <w:sz w:val="24"/>
          <w:szCs w:val="24"/>
        </w:rPr>
        <w:t>Oktaviani</w:t>
      </w:r>
      <w:r>
        <w:rPr>
          <w:rFonts w:ascii="Times New Roman" w:cs="Times New Roman" w:eastAsia="Calibri" w:hAnsi="Times New Roman"/>
          <w:sz w:val="24"/>
          <w:szCs w:val="24"/>
        </w:rPr>
        <w:t xml:space="preserve">, D. F. (2021). </w:t>
      </w:r>
      <w:r>
        <w:rPr>
          <w:rFonts w:ascii="Times New Roman" w:cs="Times New Roman" w:eastAsia="Calibri" w:hAnsi="Times New Roman"/>
          <w:sz w:val="24"/>
          <w:szCs w:val="24"/>
        </w:rPr>
        <w:t>Dampak</w:t>
      </w:r>
      <w:r>
        <w:rPr>
          <w:rFonts w:ascii="Times New Roman" w:cs="Times New Roman" w:eastAsia="Calibri" w:hAnsi="Times New Roman"/>
          <w:sz w:val="24"/>
          <w:szCs w:val="24"/>
        </w:rPr>
        <w:t xml:space="preserve"> Stunting </w:t>
      </w:r>
      <w:r>
        <w:rPr>
          <w:rFonts w:ascii="Times New Roman" w:cs="Times New Roman" w:eastAsia="Calibri" w:hAnsi="Times New Roman"/>
          <w:sz w:val="24"/>
          <w:szCs w:val="24"/>
        </w:rPr>
        <w:t>Terhadap</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Kualitas</w:t>
      </w:r>
      <w:r>
        <w:rPr>
          <w:rFonts w:ascii="Times New Roman" w:cs="Times New Roman" w:eastAsia="Calibri" w:hAnsi="Times New Roman"/>
          <w:sz w:val="24"/>
          <w:szCs w:val="24"/>
        </w:rPr>
        <w:t xml:space="preserve"> Hidup Anak dan </w:t>
      </w:r>
      <w:r>
        <w:rPr>
          <w:rFonts w:ascii="Times New Roman" w:cs="Times New Roman" w:eastAsia="Calibri" w:hAnsi="Times New Roman"/>
          <w:sz w:val="24"/>
          <w:szCs w:val="24"/>
        </w:rPr>
        <w:t>Keluarga</w:t>
      </w:r>
      <w:r>
        <w:rPr>
          <w:rFonts w:ascii="Times New Roman" w:cs="Times New Roman" w:eastAsia="Calibri" w:hAnsi="Times New Roman"/>
          <w:sz w:val="24"/>
          <w:szCs w:val="24"/>
        </w:rPr>
        <w:t xml:space="preserve"> di Indonesia. </w:t>
      </w:r>
      <w:r>
        <w:rPr>
          <w:rFonts w:ascii="Times New Roman" w:cs="Times New Roman" w:eastAsia="Calibri" w:hAnsi="Times New Roman"/>
          <w:sz w:val="24"/>
          <w:szCs w:val="24"/>
        </w:rPr>
        <w:t>Jurnal</w:t>
      </w:r>
      <w:r>
        <w:rPr>
          <w:rFonts w:ascii="Times New Roman" w:cs="Times New Roman" w:eastAsia="Calibri" w:hAnsi="Times New Roman"/>
          <w:sz w:val="24"/>
          <w:szCs w:val="24"/>
        </w:rPr>
        <w:t xml:space="preserve"> Kesehatan Masyarakat, 9(1), 75-84</w:t>
      </w:r>
    </w:p>
    <w:p>
      <w:pPr>
        <w:pStyle w:val="style0"/>
        <w:spacing w:after="0" w:lineRule="auto" w:line="240"/>
        <w:ind w:left="360"/>
        <w:jc w:val="both"/>
        <w:contextualSpacing/>
        <w:rPr>
          <w:rFonts w:ascii="Times New Roman" w:cs="Arial" w:eastAsia="Calibri" w:hAnsi="Times New Roman"/>
          <w:sz w:val="24"/>
          <w:szCs w:val="22"/>
        </w:rPr>
      </w:pPr>
    </w:p>
    <w:p>
      <w:pPr>
        <w:pStyle w:val="style0"/>
        <w:numPr>
          <w:ilvl w:val="0"/>
          <w:numId w:val="13"/>
        </w:numPr>
        <w:spacing w:after="0" w:lineRule="auto" w:line="240"/>
        <w:ind w:left="360"/>
        <w:jc w:val="both"/>
        <w:contextualSpacing/>
        <w:rPr>
          <w:rFonts w:ascii="Times New Roman" w:cs="Arial" w:eastAsia="Calibri" w:hAnsi="Times New Roman"/>
          <w:sz w:val="24"/>
        </w:rPr>
      </w:pPr>
      <w:r>
        <w:rPr>
          <w:rFonts w:ascii="Times New Roman" w:cs="Times New Roman" w:eastAsia="Calibri" w:hAnsi="Times New Roman"/>
          <w:sz w:val="24"/>
          <w:szCs w:val="24"/>
        </w:rPr>
        <w:t>Kusumawati</w:t>
      </w:r>
      <w:r>
        <w:rPr>
          <w:rFonts w:ascii="Times New Roman" w:cs="Times New Roman" w:eastAsia="Calibri" w:hAnsi="Times New Roman"/>
          <w:sz w:val="24"/>
          <w:szCs w:val="24"/>
        </w:rPr>
        <w:t xml:space="preserve">, D. A., Sari, E. P., &amp; Utomo, S. (2019). Gambaran </w:t>
      </w:r>
      <w:r>
        <w:rPr>
          <w:rFonts w:ascii="Times New Roman" w:cs="Times New Roman" w:eastAsia="Calibri" w:hAnsi="Times New Roman"/>
          <w:sz w:val="24"/>
          <w:szCs w:val="24"/>
        </w:rPr>
        <w:t>Mekanisme</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Koping</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Keluarga</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dalam</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Menghadapi</w:t>
      </w:r>
      <w:r>
        <w:rPr>
          <w:rFonts w:ascii="Times New Roman" w:cs="Times New Roman" w:eastAsia="Calibri" w:hAnsi="Times New Roman"/>
          <w:sz w:val="24"/>
          <w:szCs w:val="24"/>
        </w:rPr>
        <w:t xml:space="preserve"> Anak Stunting di Wilayah </w:t>
      </w:r>
      <w:r>
        <w:rPr>
          <w:rFonts w:ascii="Times New Roman" w:cs="Times New Roman" w:eastAsia="Calibri" w:hAnsi="Times New Roman"/>
          <w:sz w:val="24"/>
          <w:szCs w:val="24"/>
        </w:rPr>
        <w:t>Kerja</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Puskesmas</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Kejambon</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Kabupaten</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Wonosobo</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Jurnal</w:t>
      </w:r>
      <w:r>
        <w:rPr>
          <w:rFonts w:ascii="Times New Roman" w:cs="Times New Roman" w:eastAsia="Calibri" w:hAnsi="Times New Roman"/>
          <w:sz w:val="24"/>
          <w:szCs w:val="24"/>
        </w:rPr>
        <w:t xml:space="preserve"> Kesehatan Masyarakat, 7(2), 117-126</w:t>
      </w:r>
    </w:p>
    <w:p>
      <w:pPr>
        <w:pStyle w:val="style0"/>
        <w:spacing w:after="0" w:lineRule="auto" w:line="240"/>
        <w:ind w:left="360"/>
        <w:jc w:val="both"/>
        <w:contextualSpacing/>
        <w:rPr>
          <w:rFonts w:ascii="Times New Roman" w:cs="Arial" w:eastAsia="Calibri" w:hAnsi="Times New Roman"/>
          <w:sz w:val="24"/>
          <w:szCs w:val="22"/>
        </w:rPr>
      </w:pPr>
    </w:p>
    <w:p>
      <w:pPr>
        <w:pStyle w:val="style0"/>
        <w:numPr>
          <w:ilvl w:val="0"/>
          <w:numId w:val="13"/>
        </w:numPr>
        <w:spacing w:after="0" w:lineRule="auto" w:line="240"/>
        <w:ind w:left="360"/>
        <w:jc w:val="both"/>
        <w:contextualSpacing/>
        <w:rPr>
          <w:rFonts w:ascii="Times New Roman" w:cs="Arial" w:eastAsia="Calibri" w:hAnsi="Times New Roman"/>
          <w:sz w:val="24"/>
        </w:rPr>
      </w:pPr>
      <w:r>
        <w:rPr>
          <w:rFonts w:ascii="Times New Roman" w:cs="Times New Roman" w:eastAsia="Calibri" w:hAnsi="Times New Roman"/>
          <w:sz w:val="24"/>
          <w:szCs w:val="24"/>
        </w:rPr>
        <w:t xml:space="preserve">Martono, T., &amp; Susanti, R. (2018). </w:t>
      </w:r>
      <w:r>
        <w:rPr>
          <w:rFonts w:ascii="Times New Roman" w:cs="Times New Roman" w:eastAsia="Calibri" w:hAnsi="Times New Roman"/>
          <w:sz w:val="24"/>
          <w:szCs w:val="24"/>
        </w:rPr>
        <w:t>Hubungan</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antara</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Perilaku</w:t>
      </w:r>
      <w:r>
        <w:rPr>
          <w:rFonts w:ascii="Times New Roman" w:cs="Times New Roman" w:eastAsia="Calibri" w:hAnsi="Times New Roman"/>
          <w:sz w:val="24"/>
          <w:szCs w:val="24"/>
        </w:rPr>
        <w:t xml:space="preserve"> Ibu </w:t>
      </w:r>
      <w:r>
        <w:rPr>
          <w:rFonts w:ascii="Times New Roman" w:cs="Times New Roman" w:eastAsia="Calibri" w:hAnsi="Times New Roman"/>
          <w:sz w:val="24"/>
          <w:szCs w:val="24"/>
        </w:rPr>
        <w:t>dalam</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Pemberian</w:t>
      </w:r>
      <w:r>
        <w:rPr>
          <w:rFonts w:ascii="Times New Roman" w:cs="Times New Roman" w:eastAsia="Calibri" w:hAnsi="Times New Roman"/>
          <w:sz w:val="24"/>
          <w:szCs w:val="24"/>
        </w:rPr>
        <w:t xml:space="preserve"> Makan dan Status Gizi Anak Balita </w:t>
      </w:r>
      <w:r>
        <w:rPr>
          <w:rFonts w:ascii="Times New Roman" w:cs="Times New Roman" w:eastAsia="Calibri" w:hAnsi="Times New Roman"/>
          <w:sz w:val="24"/>
          <w:szCs w:val="24"/>
        </w:rPr>
        <w:t>dengan</w:t>
      </w:r>
      <w:r>
        <w:rPr>
          <w:rFonts w:ascii="Times New Roman" w:cs="Times New Roman" w:eastAsia="Calibri" w:hAnsi="Times New Roman"/>
          <w:sz w:val="24"/>
          <w:szCs w:val="24"/>
        </w:rPr>
        <w:t xml:space="preserve"> Stunting di Wilayah </w:t>
      </w:r>
      <w:r>
        <w:rPr>
          <w:rFonts w:ascii="Times New Roman" w:cs="Times New Roman" w:eastAsia="Calibri" w:hAnsi="Times New Roman"/>
          <w:sz w:val="24"/>
          <w:szCs w:val="24"/>
        </w:rPr>
        <w:t>Kerja</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Puskesmas</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Jatinangor</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Jurnal</w:t>
      </w:r>
      <w:r>
        <w:rPr>
          <w:rFonts w:ascii="Times New Roman" w:cs="Times New Roman" w:eastAsia="Calibri" w:hAnsi="Times New Roman"/>
          <w:sz w:val="24"/>
          <w:szCs w:val="24"/>
        </w:rPr>
        <w:t xml:space="preserve"> Kesehatan Masyarakat, 6(1), 15-24</w:t>
      </w:r>
    </w:p>
    <w:p>
      <w:pPr>
        <w:pStyle w:val="style0"/>
        <w:numPr>
          <w:ilvl w:val="0"/>
          <w:numId w:val="13"/>
        </w:numPr>
        <w:spacing w:after="0" w:lineRule="auto" w:line="240"/>
        <w:ind w:left="360"/>
        <w:jc w:val="both"/>
        <w:contextualSpacing/>
        <w:rPr>
          <w:rFonts w:ascii="Times New Roman" w:cs="Arial" w:eastAsia="Calibri" w:hAnsi="Times New Roman"/>
          <w:sz w:val="24"/>
        </w:rPr>
      </w:pPr>
      <w:r>
        <w:rPr>
          <w:rFonts w:ascii="Times New Roman" w:cs="Times New Roman" w:eastAsia="Calibri" w:hAnsi="Times New Roman"/>
          <w:sz w:val="24"/>
          <w:szCs w:val="24"/>
        </w:rPr>
        <w:t>World Health Organization. (2019). Global nutrition targets 2025: stunting policy brief. Geneva: World Health Organization</w:t>
      </w:r>
      <w:r>
        <w:rPr>
          <w:rFonts w:ascii="Times New Roman" w:cs="Arial" w:eastAsia="Calibri" w:hAnsi="Times New Roman"/>
          <w:sz w:val="24"/>
        </w:rPr>
        <w:t>.</w:t>
      </w:r>
    </w:p>
    <w:p>
      <w:pPr>
        <w:pStyle w:val="style0"/>
        <w:numPr>
          <w:ilvl w:val="0"/>
          <w:numId w:val="13"/>
        </w:numPr>
        <w:spacing w:after="0" w:lineRule="auto" w:line="240"/>
        <w:ind w:left="360"/>
        <w:jc w:val="both"/>
        <w:contextualSpacing/>
        <w:rPr>
          <w:rFonts w:ascii="Times New Roman" w:cs="Arial" w:eastAsia="Calibri" w:hAnsi="Times New Roman"/>
          <w:sz w:val="24"/>
        </w:rPr>
      </w:pPr>
      <w:r>
        <w:rPr>
          <w:rFonts w:ascii="Times New Roman" w:cs="Arial" w:eastAsia="Calibri" w:hAnsi="Times New Roman"/>
          <w:sz w:val="24"/>
        </w:rPr>
        <w:fldChar w:fldCharType="begin"/>
      </w:r>
      <w:r>
        <w:rPr>
          <w:rFonts w:ascii="Times New Roman" w:cs="Arial" w:eastAsia="Calibri" w:hAnsi="Times New Roman"/>
          <w:sz w:val="24"/>
        </w:rPr>
        <w:instrText xml:space="preserve">ADDIN Mendeley Bibliography CSL_BIBLIOGRAPHY </w:instrText>
      </w:r>
      <w:r>
        <w:rPr>
          <w:rFonts w:ascii="Times New Roman" w:cs="Arial" w:eastAsia="Calibri" w:hAnsi="Times New Roman"/>
          <w:sz w:val="24"/>
        </w:rPr>
        <w:fldChar w:fldCharType="separate"/>
      </w:r>
      <w:r>
        <w:rPr>
          <w:rFonts w:ascii="Times New Roman" w:cs="Times New Roman" w:hAnsi="Times New Roman"/>
          <w:noProof/>
          <w:sz w:val="24"/>
          <w:szCs w:val="24"/>
        </w:rPr>
        <w:t xml:space="preserve">Amadu, Iddrisu, Abdul-Aziz Seidu, Eric Duku, James Boadu Frimpong, John Elvis Hagan Jnr, Richard Gyan Aboagye, Belinda Ampah, Collins Adu, and Bright Opoku Ahinkorah. 2021. “Risk Factors Associated with the Coexistence of Stunting, Underweight, and  Wasting in Children under 5 from 31 Sub-Saharan African Countries.” </w:t>
      </w:r>
      <w:r>
        <w:rPr>
          <w:rFonts w:ascii="Times New Roman" w:cs="Times New Roman" w:hAnsi="Times New Roman"/>
          <w:i/>
          <w:iCs/>
          <w:noProof/>
          <w:sz w:val="24"/>
          <w:szCs w:val="24"/>
        </w:rPr>
        <w:t>BMJ Open</w:t>
      </w:r>
      <w:r>
        <w:rPr>
          <w:rFonts w:ascii="Times New Roman" w:cs="Times New Roman" w:hAnsi="Times New Roman"/>
          <w:noProof/>
          <w:sz w:val="24"/>
          <w:szCs w:val="24"/>
        </w:rPr>
        <w:t xml:space="preserve"> 11 (12): e052267. https://doi.org/10.1136/bmjopen-2021-052267.</w:t>
      </w:r>
    </w:p>
    <w:p>
      <w:pPr>
        <w:pStyle w:val="style0"/>
        <w:spacing w:after="0" w:lineRule="auto" w:line="240"/>
        <w:ind w:left="360"/>
        <w:jc w:val="both"/>
        <w:contextualSpacing/>
        <w:rPr>
          <w:rFonts w:ascii="Times New Roman" w:cs="Arial" w:eastAsia="Calibri" w:hAnsi="Times New Roman"/>
          <w:sz w:val="24"/>
        </w:rPr>
      </w:pPr>
    </w:p>
    <w:p>
      <w:pPr>
        <w:pStyle w:val="style0"/>
        <w:numPr>
          <w:ilvl w:val="0"/>
          <w:numId w:val="13"/>
        </w:numPr>
        <w:spacing w:after="0" w:lineRule="auto" w:line="240"/>
        <w:ind w:left="360"/>
        <w:jc w:val="both"/>
        <w:contextualSpacing/>
        <w:rPr>
          <w:rFonts w:ascii="Times New Roman" w:cs="Arial" w:eastAsia="Calibri" w:hAnsi="Times New Roman"/>
          <w:sz w:val="24"/>
        </w:rPr>
      </w:pPr>
      <w:r>
        <w:rPr>
          <w:rFonts w:ascii="Times New Roman" w:cs="Times New Roman" w:hAnsi="Times New Roman"/>
          <w:noProof/>
          <w:sz w:val="24"/>
          <w:szCs w:val="24"/>
        </w:rPr>
        <w:t xml:space="preserve">Budge, Sophie, Alison H Parker, Paul T Hutchings, and Camila Garbutt. 2019. “Environmental Enteric Dysfunction and Child Stunting.” </w:t>
      </w:r>
      <w:r>
        <w:rPr>
          <w:rFonts w:ascii="Times New Roman" w:cs="Times New Roman" w:hAnsi="Times New Roman"/>
          <w:i/>
          <w:iCs/>
          <w:noProof/>
          <w:sz w:val="24"/>
          <w:szCs w:val="24"/>
        </w:rPr>
        <w:t>Nutrition Reviews</w:t>
      </w:r>
      <w:r>
        <w:rPr>
          <w:rFonts w:ascii="Times New Roman" w:cs="Times New Roman" w:hAnsi="Times New Roman"/>
          <w:noProof/>
          <w:sz w:val="24"/>
          <w:szCs w:val="24"/>
        </w:rPr>
        <w:t xml:space="preserve"> 77 (4): 240–53. https://doi.org/10.1093/nutrit/nuy068.</w:t>
      </w:r>
    </w:p>
    <w:p>
      <w:pPr>
        <w:pStyle w:val="style179"/>
        <w:rPr>
          <w:rFonts w:ascii="Times New Roman" w:hAnsi="Times New Roman"/>
          <w:noProof/>
          <w:sz w:val="24"/>
          <w:szCs w:val="24"/>
        </w:rPr>
      </w:pPr>
    </w:p>
    <w:p>
      <w:pPr>
        <w:pStyle w:val="style0"/>
        <w:numPr>
          <w:ilvl w:val="0"/>
          <w:numId w:val="13"/>
        </w:numPr>
        <w:spacing w:after="0" w:lineRule="auto" w:line="240"/>
        <w:ind w:left="360"/>
        <w:jc w:val="both"/>
        <w:contextualSpacing/>
        <w:rPr>
          <w:rFonts w:ascii="Times New Roman" w:cs="Arial" w:eastAsia="Calibri" w:hAnsi="Times New Roman"/>
          <w:sz w:val="24"/>
        </w:rPr>
      </w:pPr>
      <w:r>
        <w:rPr>
          <w:rFonts w:ascii="Times New Roman" w:cs="Times New Roman" w:hAnsi="Times New Roman"/>
          <w:noProof/>
          <w:sz w:val="24"/>
          <w:szCs w:val="24"/>
        </w:rPr>
        <w:t xml:space="preserve">Mulyaningsih, Tri, Itismita Mohanty, Vitri Widyaningsih, Tesfaye Alemayehu Gebremedhin, Riyana Miranti, and Vincent Hadi Wiyono. 2021. “Beyond Personal Factors: Multilevel Determinants of Childhood Stunting in  Indonesia.” </w:t>
      </w:r>
      <w:r>
        <w:rPr>
          <w:rFonts w:ascii="Times New Roman" w:cs="Times New Roman" w:hAnsi="Times New Roman"/>
          <w:i/>
          <w:iCs/>
          <w:noProof/>
          <w:sz w:val="24"/>
          <w:szCs w:val="24"/>
        </w:rPr>
        <w:t>PloS One</w:t>
      </w:r>
      <w:r>
        <w:rPr>
          <w:rFonts w:ascii="Times New Roman" w:cs="Times New Roman" w:hAnsi="Times New Roman"/>
          <w:noProof/>
          <w:sz w:val="24"/>
          <w:szCs w:val="24"/>
        </w:rPr>
        <w:t xml:space="preserve"> 16 (11): e0260265. https://doi.org/10.1371/journal.pone.0260265.</w:t>
      </w:r>
    </w:p>
    <w:p>
      <w:pPr>
        <w:pStyle w:val="style179"/>
        <w:rPr>
          <w:rFonts w:ascii="Times New Roman" w:hAnsi="Times New Roman"/>
          <w:noProof/>
          <w:sz w:val="24"/>
          <w:szCs w:val="24"/>
        </w:rPr>
      </w:pPr>
    </w:p>
    <w:p>
      <w:pPr>
        <w:pStyle w:val="style0"/>
        <w:numPr>
          <w:ilvl w:val="0"/>
          <w:numId w:val="13"/>
        </w:numPr>
        <w:spacing w:after="0" w:lineRule="auto" w:line="240"/>
        <w:ind w:left="360"/>
        <w:jc w:val="both"/>
        <w:contextualSpacing/>
        <w:rPr>
          <w:rFonts w:ascii="Times New Roman" w:cs="Arial" w:eastAsia="Calibri" w:hAnsi="Times New Roman"/>
          <w:sz w:val="24"/>
        </w:rPr>
      </w:pPr>
      <w:r>
        <w:rPr>
          <w:rFonts w:ascii="Times New Roman" w:cs="Times New Roman" w:hAnsi="Times New Roman"/>
          <w:noProof/>
          <w:sz w:val="24"/>
          <w:szCs w:val="24"/>
        </w:rPr>
        <w:t xml:space="preserve">Ningsih, Setia, Dyah Intan Puspitasari, Farida Nur Isnaeni, and Zulia Setiyaningrum. 2023. “Hubungan Praktik Pemberian Makan Dan Hygiene Sanitasi Lingkungan Dengan Kejadian Stunting Pada Balita Usia 24-59 Bulan.” </w:t>
      </w:r>
      <w:r>
        <w:rPr>
          <w:rFonts w:ascii="Times New Roman" w:cs="Times New Roman" w:hAnsi="Times New Roman"/>
          <w:i/>
          <w:iCs/>
          <w:noProof/>
          <w:sz w:val="24"/>
          <w:szCs w:val="24"/>
        </w:rPr>
        <w:t>Pontianak Nutrition Journal (PNJ)</w:t>
      </w:r>
      <w:r>
        <w:rPr>
          <w:rFonts w:ascii="Times New Roman" w:cs="Times New Roman" w:hAnsi="Times New Roman"/>
          <w:noProof/>
          <w:sz w:val="24"/>
          <w:szCs w:val="24"/>
        </w:rPr>
        <w:t xml:space="preserve"> 6 (2).</w:t>
      </w:r>
    </w:p>
    <w:p>
      <w:pPr>
        <w:pStyle w:val="style179"/>
        <w:rPr>
          <w:rFonts w:ascii="Times New Roman" w:hAnsi="Times New Roman"/>
          <w:noProof/>
          <w:sz w:val="24"/>
          <w:szCs w:val="24"/>
        </w:rPr>
      </w:pPr>
    </w:p>
    <w:p>
      <w:pPr>
        <w:pStyle w:val="style0"/>
        <w:numPr>
          <w:ilvl w:val="0"/>
          <w:numId w:val="13"/>
        </w:numPr>
        <w:spacing w:after="0" w:lineRule="auto" w:line="240"/>
        <w:ind w:left="360"/>
        <w:jc w:val="both"/>
        <w:contextualSpacing/>
        <w:rPr>
          <w:rFonts w:ascii="Times New Roman" w:cs="Arial" w:eastAsia="Calibri" w:hAnsi="Times New Roman"/>
          <w:sz w:val="24"/>
          <w:szCs w:val="22"/>
        </w:rPr>
      </w:pPr>
      <w:r>
        <w:rPr>
          <w:rFonts w:ascii="Times New Roman" w:cs="Times New Roman" w:hAnsi="Times New Roman"/>
          <w:noProof/>
          <w:sz w:val="24"/>
          <w:szCs w:val="24"/>
        </w:rPr>
        <w:t xml:space="preserve">Zhang, Y Q, H H Wu, X N Zong, and H Li. 2021. “[Survey on the influential factors of stunting among children under seven years  of age in nine cities of China].” </w:t>
      </w:r>
      <w:r>
        <w:rPr>
          <w:rFonts w:ascii="Times New Roman" w:cs="Times New Roman" w:hAnsi="Times New Roman"/>
          <w:i/>
          <w:iCs/>
          <w:noProof/>
          <w:sz w:val="24"/>
          <w:szCs w:val="24"/>
        </w:rPr>
        <w:t>Zhonghua er ke za zhi = Chinese journal of pediatrics</w:t>
      </w:r>
      <w:r>
        <w:rPr>
          <w:rFonts w:ascii="Times New Roman" w:cs="Times New Roman" w:hAnsi="Times New Roman"/>
          <w:noProof/>
          <w:sz w:val="24"/>
          <w:szCs w:val="24"/>
        </w:rPr>
        <w:t xml:space="preserve"> 59 (9): 743–51. https://doi.org/10.3760/cma.j.cn112140-20210225-00157.</w:t>
      </w:r>
    </w:p>
    <w:p>
      <w:pPr>
        <w:pStyle w:val="style0"/>
        <w:tabs>
          <w:tab w:val="left" w:leader="none" w:pos="426"/>
        </w:tabs>
        <w:spacing w:after="0" w:lineRule="auto" w:line="240"/>
        <w:jc w:val="both"/>
        <w:rPr>
          <w:rFonts w:ascii="Tw Cen MT" w:cs="Twentieth Century" w:eastAsia="Twentieth Century" w:hAnsi="Tw Cen MT"/>
          <w:b/>
          <w:sz w:val="24"/>
          <w:szCs w:val="24"/>
        </w:rPr>
      </w:pPr>
      <w:r>
        <w:rPr>
          <w:rFonts w:ascii="Times New Roman" w:cs="Arial" w:eastAsia="Calibri" w:hAnsi="Times New Roman"/>
          <w:sz w:val="24"/>
        </w:rPr>
        <w:fldChar w:fldCharType="end"/>
      </w:r>
    </w:p>
    <w:sectPr>
      <w:type w:val="continuous"/>
      <w:pgSz w:w="12240" w:h="15840" w:orient="portrait"/>
      <w:pgMar w:top="1440" w:right="1440" w:bottom="1440" w:left="1440" w:header="720" w:footer="720" w:gutter="0"/>
      <w:cols w:equalWidth="0" w:space="720" w:num="2">
        <w:col w:w="4320" w:space="720"/>
        <w:col w:w="4320"/>
      </w:cols>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adita ratna" w:date="2025-06-30T10:13:00Z" w:initials="adita rat">
    <w:p w14:paraId="1">
      <w:r>
        <w:rPr/>
        <w:annotationRef/>
      </w:r>
      <w:r>
        <w:t>sesuaikan abstrak english dg abstrak indonesia nya</w:t>
      </w:r>
    </w:p>
  </w:comment>
  <w:comment w:id="2" w:author="adita ratna" w:date="2025-06-30T10:13:00Z" w:initials="adita rat">
    <w:p w14:paraId="2">
      <w:r>
        <w:rPr/>
        <w:annotationRef/>
      </w:r>
      <w:r>
        <w:t>jumlah ktanya maksimal 150 kata</w:t>
      </w:r>
    </w:p>
  </w:comment>
  <w:comment w:id="3" w:author="adita ratna" w:date="2025-06-30T10:15:00Z" w:initials="adita rat">
    <w:p w14:paraId="3">
      <w:r>
        <w:rPr/>
        <w:annotationRef/>
      </w:r>
      <w:r>
        <w:t>pustaka menggunakan sistem penomoran, mulai dri angka 1 dst</w:t>
      </w:r>
    </w:p>
  </w:comment>
  <w:comment w:id="4" w:author="adita ratna" w:date="2025-06-30T10:17:00Z" w:initials="adita rat">
    <w:p w14:paraId="4">
      <w:r>
        <w:rPr/>
        <w:annotationRef/>
      </w:r>
      <w:r>
        <w:t>mohon utk diperbaiki penulisan daftar pustaka sesuai dg template, menggunakan ieee style, dpt dilihat jg ke artikel yg sudah terbit bgmn penulisannya.</w:t>
        <w:br/>
        <w:t>DP minimal 20 buah</w:t>
        <w:br/>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altName w:val="Tw Cen MT"/>
    <w:panose1 w:val="020b0602020001020603"/>
    <w:charset w:val="00"/>
    <w:family w:val="swiss"/>
    <w:pitch w:val="variable"/>
    <w:sig w:usb0="00000007" w:usb1="00000000" w:usb2="00000000" w:usb3="00000000" w:csb0="00000003" w:csb1="00000000"/>
  </w:font>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MS Mincho">
    <w:altName w:val="ＭＳ 明朝"/>
    <w:panose1 w:val="02020609040002080304"/>
    <w:charset w:val="80"/>
    <w:family w:val="modern"/>
    <w:pitch w:val="fixed"/>
    <w:sig w:usb0="E00002FF" w:usb1="6AC7FDFB" w:usb2="08000012" w:usb3="00000000" w:csb0="0002009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 w:name="MS Gothic">
    <w:altName w:val="ＭＳ ゴシック"/>
    <w:panose1 w:val="020b0609070002080204"/>
    <w:charset w:val="80"/>
    <w:family w:val="modern"/>
    <w:pitch w:val="fixed"/>
    <w:sig w:usb0="E00002FF" w:usb1="6AC7FDFB" w:usb2="08000012" w:usb3="00000000" w:csb0="0002009F" w:csb1="00000000"/>
  </w:font>
  <w:font w:name="Angsana New">
    <w:altName w:val="Angsana New"/>
    <w:panose1 w:val="02020603050004020304"/>
    <w:charset w:val="de"/>
    <w:family w:val="roman"/>
    <w:pitch w:val="variable"/>
    <w:sig w:usb0="81000003" w:usb1="00000000" w:usb2="00000000" w:usb3="00000000" w:csb0="00010001" w:csb1="00000000"/>
  </w:font>
  <w:font w:name="Arial">
    <w:altName w:val="Arial"/>
    <w:panose1 w:val="020b0604020002020204"/>
    <w:charset w:val="00"/>
    <w:family w:val="swiss"/>
    <w:pitch w:val="variable"/>
    <w:sig w:usb0="E0002EFF" w:usb1="C000785B" w:usb2="00000009" w:usb3="00000000" w:csb0="000001FF" w:csb1="00000000"/>
  </w:font>
  <w:font w:name="Noto Sans">
    <w:altName w:val="Noto Sans"/>
    <w:panose1 w:val="00000000000000000000"/>
    <w:charset w:val="00"/>
    <w:family w:val="swiss"/>
    <w:pitch w:val="variable"/>
    <w:sig w:usb0="E00082FF" w:usb1="400078FF" w:usb2="00000021" w:usb3="00000000" w:csb0="0000019F" w:csb1="00000000"/>
  </w:font>
  <w:font w:name="Segoe UI">
    <w:altName w:val="Segoe UI"/>
    <w:panose1 w:val="020b0502040002020203"/>
    <w:charset w:val="00"/>
    <w:family w:val="swiss"/>
    <w:pitch w:val="variable"/>
    <w:sig w:usb0="E4002EFF" w:usb1="C000E47F" w:usb2="00000009" w:usb3="00000000" w:csb0="000001FF" w:csb1="00000000"/>
  </w:font>
  <w:font w:name="Cambria Math">
    <w:altName w:val="Cambria Math"/>
    <w:panose1 w:val="02040503050004030204"/>
    <w:charset w:val="00"/>
    <w:family w:val="roman"/>
    <w:pitch w:val="variable"/>
    <w:sig w:usb0="E00006FF" w:usb1="420024FF" w:usb2="02000000" w:usb3="00000000" w:csb0="0000019F" w:csb1="00000000"/>
  </w:font>
  <w:font w:name="ＭＳ 明朝">
    <w:altName w:val=""/>
    <w:panose1 w:val="00000000000000000000"/>
    <w:charset w:val="00"/>
    <w:family w:val="auto"/>
    <w:pitch w:val="default"/>
    <w:sig w:usb0="E0002AFF" w:usb1="C0007841" w:usb2="00000009" w:usb3="00000000" w:csb0="000001FF" w:csb1="00000000"/>
  </w:font>
  <w:font w:name="ＭＳ ゴシック">
    <w:altName w:val=""/>
    <w:panose1 w:val="00000000000000000000"/>
    <w:charset w:val="00"/>
    <w:family w:val="auto"/>
    <w:pitch w:val="default"/>
    <w:sig w:usb0="E0002AFF" w:usb1="C0007841"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rFonts w:ascii="Tw Cen MT" w:hAnsi="Tw Cen MT"/>
        <w:color w:val="000000"/>
        <w:sz w:val="20"/>
        <w:szCs w:val="24"/>
      </w:rPr>
    </w:pPr>
    <w:r>
      <w:rPr>
        <w:rFonts w:ascii="Tw Cen MT" w:hAnsi="Tw Cen MT"/>
        <w:noProof/>
        <w:color w:val="000000"/>
        <w:sz w:val="20"/>
        <w:szCs w:val="24"/>
      </w:rPr>
      <mc:AlternateContent>
        <mc:Choice Requires="wps">
          <w:drawing>
            <wp:anchor distT="0" distB="0" distL="0" distR="0" simplePos="false" relativeHeight="2" behindDoc="false" locked="false" layoutInCell="true" allowOverlap="true">
              <wp:simplePos x="0" y="0"/>
              <wp:positionH relativeFrom="column">
                <wp:posOffset>-8890</wp:posOffset>
              </wp:positionH>
              <wp:positionV relativeFrom="paragraph">
                <wp:posOffset>-14808</wp:posOffset>
              </wp:positionV>
              <wp:extent cx="5956935" cy="0"/>
              <wp:effectExtent l="0" t="19050" r="5715" b="19050"/>
              <wp:wrapNone/>
              <wp:docPr id="4097" name="Straight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56935" cy="0"/>
                      </a:xfrm>
                      <a:prstGeom prst="line"/>
                      <a:ln cmpd="sng" cap="flat" w="28575">
                        <a:solidFill>
                          <a:srgbClr val="000000"/>
                        </a:solidFill>
                        <a:prstDash val="solid"/>
                        <a:round/>
                        <a:headEnd/>
                        <a:tailEnd/>
                      </a:ln>
                    </wps:spPr>
                    <wps:bodyPr>
                      <a:prstTxWarp prst="textNoShape"/>
                    </wps:bodyPr>
                  </wps:wsp>
                </a:graphicData>
              </a:graphic>
              <wp14:sizeRelH relativeFrom="margin">
                <wp14:pctWidth>0</wp14:pctWidth>
              </wp14:sizeRelH>
            </wp:anchor>
          </w:drawing>
        </mc:Choice>
        <mc:Fallback>
          <w:pict>
            <v:line id="4097" filled="f" stroked="t" from="-0.70000005pt,-1.1659843pt" to="468.34998pt,-1.1659843pt" style="position:absolute;z-index:2;mso-position-horizontal-relative:text;mso-position-vertical-relative:text;mso-width-percent:0;mso-width-relative:margin;mso-height-relative:page;mso-wrap-distance-left:0.0pt;mso-wrap-distance-right:0.0pt;visibility:visible;">
              <v:stroke weight="2.25pt"/>
              <v:fill/>
            </v:line>
          </w:pict>
        </mc:Fallback>
      </mc:AlternateContent>
    </w:r>
    <w:r>
      <w:rPr>
        <w:rFonts w:ascii="Tw Cen MT" w:hAnsi="Tw Cen MT"/>
        <w:color w:val="000000"/>
        <w:sz w:val="20"/>
        <w:szCs w:val="24"/>
        <w:lang w:val="en-ID"/>
      </w:rPr>
      <w:t>Coresponden</w:t>
    </w:r>
    <w:r>
      <w:rPr>
        <w:rFonts w:ascii="Tw Cen MT" w:hAnsi="Tw Cen MT"/>
        <w:color w:val="000000"/>
        <w:sz w:val="20"/>
        <w:szCs w:val="24"/>
        <w:lang w:val="en-ID"/>
      </w:rPr>
      <w:t xml:space="preserve"> Name</w:t>
    </w:r>
    <w:r>
      <w:rPr>
        <w:rFonts w:ascii="Tw Cen MT" w:hAnsi="Tw Cen MT"/>
        <w:color w:val="000000"/>
        <w:sz w:val="20"/>
        <w:szCs w:val="24"/>
        <w:lang w:val="en-ID"/>
      </w:rPr>
      <w:t xml:space="preserve"> and </w:t>
    </w:r>
    <w:r>
      <w:rPr>
        <w:rFonts w:ascii="Tw Cen MT" w:hAnsi="Tw Cen MT"/>
        <w:color w:val="000000"/>
        <w:sz w:val="20"/>
        <w:szCs w:val="24"/>
        <w:lang w:val="en-ID"/>
      </w:rPr>
      <w:t>email</w:t>
    </w:r>
  </w:p>
  <w:p>
    <w:pPr>
      <w:pStyle w:val="style32"/>
      <w:jc w:val="right"/>
      <w:rPr/>
    </w:pPr>
    <w:r>
      <w:rPr>
        <w:rFonts w:ascii="Tw Cen MT" w:hAnsi="Tw Cen MT"/>
        <w:noProof/>
        <w:color w:val="000000"/>
        <w:sz w:val="20"/>
        <w:szCs w:val="24"/>
      </w:rPr>
      <w:t xml:space="preserve"> </w:t>
    </w:r>
    <w:r>
      <w:rPr>
        <w:rFonts w:ascii="Tw Cen MT" w:hAnsi="Tw Cen MT"/>
        <w:sz w:val="24"/>
        <w:szCs w:val="24"/>
      </w:rPr>
      <w:fldChar w:fldCharType="begin"/>
    </w:r>
    <w:r>
      <w:rPr>
        <w:rFonts w:ascii="Tw Cen MT" w:hAnsi="Tw Cen MT"/>
        <w:sz w:val="24"/>
        <w:szCs w:val="24"/>
      </w:rPr>
      <w:instrText xml:space="preserve"> PAGE   \* MERGEFORMAT </w:instrText>
    </w:r>
    <w:r>
      <w:rPr>
        <w:rFonts w:ascii="Tw Cen MT" w:hAnsi="Tw Cen MT"/>
        <w:sz w:val="24"/>
        <w:szCs w:val="24"/>
      </w:rPr>
      <w:fldChar w:fldCharType="separate"/>
    </w:r>
    <w:r>
      <w:rPr>
        <w:rFonts w:ascii="Tw Cen MT" w:hAnsi="Tw Cen MT"/>
        <w:noProof/>
        <w:sz w:val="24"/>
        <w:szCs w:val="24"/>
      </w:rPr>
      <w:t>86</w:t>
    </w:r>
    <w:r>
      <w:rPr>
        <w:rFonts w:ascii="Tw Cen MT" w:hAnsi="Tw Cen MT"/>
        <w:noProof/>
        <w:sz w:val="24"/>
        <w:szCs w:val="24"/>
      </w:rPr>
      <w:fldChar w:fldCharType="end"/>
    </w:r>
  </w:p>
  <w:p>
    <w:pPr>
      <w:pStyle w:val="style0"/>
      <w:pBdr>
        <w:left w:val="nil"/>
        <w:right w:val="nil"/>
        <w:top w:val="nil"/>
        <w:bottom w:val="nil"/>
        <w:between w:val="nil"/>
      </w:pBdr>
      <w:tabs>
        <w:tab w:val="center" w:leader="none" w:pos="4680"/>
        <w:tab w:val="right" w:leader="none" w:pos="9360"/>
      </w:tabs>
      <w:spacing w:after="0" w:lineRule="auto" w:line="240"/>
      <w:rPr>
        <w:rFonts w:ascii="Twentieth Century" w:cs="Twentieth Century" w:eastAsia="Twentieth Century" w:hAnsi="Twentieth Century"/>
        <w:color w:val="000000"/>
        <w:sz w:val="18"/>
        <w:szCs w:val="18"/>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tabs>
        <w:tab w:val="clear" w:pos="4680"/>
        <w:tab w:val="clear" w:pos="9360"/>
      </w:tabs>
      <w:spacing w:after="120" w:lineRule="auto" w:line="276"/>
      <w:rPr>
        <w:color w:val="7f7f7f"/>
      </w:rPr>
    </w:pPr>
    <w:r>
      <w:rPr>
        <w:b/>
        <w:bCs/>
        <w:color w:val="1f497d"/>
        <w:sz w:val="28"/>
        <w:szCs w:val="28"/>
      </w:rPr>
      <w:t>[Type the document title]</w:t>
    </w:r>
  </w:p>
  <w:p>
    <w:pPr>
      <w:pStyle w:val="style0"/>
      <w:pBdr>
        <w:left w:val="nil"/>
        <w:right w:val="nil"/>
        <w:top w:val="nil"/>
        <w:bottom w:val="nil"/>
        <w:between w:val="nil"/>
      </w:pBdr>
      <w:tabs>
        <w:tab w:val="center" w:leader="none" w:pos="4680"/>
        <w:tab w:val="right" w:leader="none" w:pos="9360"/>
      </w:tabs>
      <w:spacing w:after="0" w:lineRule="auto" w:line="24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439ACB02"/>
    <w:lvl w:ilvl="0" w:tplc="4C5E4AEA">
      <w:start w:val="1"/>
      <w:numFmt w:val="lowerLetter"/>
      <w:lvlText w:val="%1."/>
      <w:lvlJc w:val="left"/>
      <w:pPr>
        <w:ind w:left="786" w:hanging="360"/>
      </w:pPr>
      <w:rPr>
        <w:rFonts w:hint="default"/>
        <w:b w:val="fals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0000002"/>
    <w:multiLevelType w:val="hybridMultilevel"/>
    <w:tmpl w:val="97DC7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35100E9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4">
    <w:nsid w:val="00000004"/>
    <w:multiLevelType w:val="hybridMultilevel"/>
    <w:tmpl w:val="9A6A4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B0740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5ABEA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A802C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13D07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28802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7DEE8B1C"/>
    <w:lvl w:ilvl="0" w:tplc="4CAE0A36">
      <w:start w:val="1"/>
      <w:numFmt w:val="decimal"/>
      <w:lvlText w:val="%1."/>
      <w:lvlJc w:val="left"/>
      <w:pPr>
        <w:ind w:left="720" w:hanging="36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80803088"/>
    <w:lvl w:ilvl="0" w:tplc="DBA29166">
      <w:start w:val="1"/>
      <w:numFmt w:val="bullet"/>
      <w:lvlText w:val="-"/>
      <w:lvlJc w:val="left"/>
      <w:pPr>
        <w:ind w:left="786" w:hanging="360"/>
      </w:pPr>
      <w:rPr>
        <w:rFonts w:ascii="Tw Cen MT" w:cs="Times New Roman" w:eastAsia="Times New Roman" w:hAnsi="Tw Cen MT" w:hint="default"/>
      </w:rPr>
    </w:lvl>
    <w:lvl w:ilvl="1" w:tplc="04090003" w:tentative="1">
      <w:start w:val="1"/>
      <w:numFmt w:val="bullet"/>
      <w:lvlText w:val="o"/>
      <w:lvlJc w:val="left"/>
      <w:pPr>
        <w:ind w:left="1506" w:hanging="360"/>
      </w:pPr>
      <w:rPr>
        <w:rFonts w:ascii="Courier New" w:cs="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cs="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cs="Courier New" w:hAnsi="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4"/>
  </w:num>
  <w:num w:numId="2">
    <w:abstractNumId w:val="11"/>
  </w:num>
  <w:num w:numId="3">
    <w:abstractNumId w:val="12"/>
  </w:num>
  <w:num w:numId="4">
    <w:abstractNumId w:val="1"/>
  </w:num>
  <w:num w:numId="5">
    <w:abstractNumId w:val="0"/>
  </w:num>
  <w:num w:numId="6">
    <w:abstractNumId w:val="2"/>
  </w:num>
  <w:num w:numId="7">
    <w:abstractNumId w:val="6"/>
  </w:num>
  <w:num w:numId="8">
    <w:abstractNumId w:val="5"/>
  </w:num>
  <w:num w:numId="9">
    <w:abstractNumId w:val="9"/>
  </w:num>
  <w:num w:numId="10">
    <w:abstractNumId w:val="7"/>
  </w:num>
  <w:num w:numId="11">
    <w:abstractNumId w:val="8"/>
  </w:num>
  <w:num w:numId="12">
    <w:abstractNumId w:val="3"/>
  </w:num>
  <w:num w:numId="13">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1"/>
        <w:szCs w:val="21"/>
        <w:lang w:val="en-US" w:bidi="ar-SA" w:eastAsia="en-US"/>
      </w:rPr>
    </w:rPrDefault>
    <w:pPrDefault>
      <w:pPr>
        <w:spacing w:after="200" w:lineRule="auto" w:line="288"/>
      </w:pPr>
    </w:pPrDefault>
  </w:docDefaults>
  <w:style w:type="paragraph" w:default="1" w:styleId="style0">
    <w:name w:val="Normal"/>
    <w:next w:val="style0"/>
    <w:qFormat/>
    <w:pPr/>
    <w:rPr>
      <w:rFonts w:eastAsia="ＭＳ 明朝"/>
    </w:rPr>
  </w:style>
  <w:style w:type="paragraph" w:styleId="style1">
    <w:name w:val="heading 1"/>
    <w:basedOn w:val="style0"/>
    <w:next w:val="style0"/>
    <w:link w:val="style4110"/>
    <w:qFormat/>
    <w:uiPriority w:val="9"/>
    <w:pPr>
      <w:keepNext/>
      <w:keepLines/>
      <w:spacing w:before="480" w:after="120"/>
      <w:outlineLvl w:val="0"/>
    </w:pPr>
    <w:rPr>
      <w:b/>
      <w:sz w:val="48"/>
      <w:szCs w:val="48"/>
    </w:rPr>
  </w:style>
  <w:style w:type="paragraph" w:styleId="style2">
    <w:name w:val="heading 2"/>
    <w:basedOn w:val="style0"/>
    <w:next w:val="style0"/>
    <w:qFormat/>
    <w:uiPriority w:val="9"/>
    <w:pPr>
      <w:keepNext/>
      <w:keepLines/>
      <w:spacing w:before="360" w:after="80"/>
      <w:outlineLvl w:val="1"/>
    </w:pPr>
    <w:rPr>
      <w:b/>
      <w:sz w:val="36"/>
      <w:szCs w:val="36"/>
    </w:rPr>
  </w:style>
  <w:style w:type="paragraph" w:styleId="style3">
    <w:name w:val="heading 3"/>
    <w:basedOn w:val="style0"/>
    <w:next w:val="style0"/>
    <w:qFormat/>
    <w:uiPriority w:val="9"/>
    <w:pPr>
      <w:keepNext/>
      <w:keepLines/>
      <w:spacing w:before="280" w:after="80"/>
      <w:outlineLvl w:val="2"/>
    </w:pPr>
    <w:rPr>
      <w:b/>
      <w:sz w:val="28"/>
      <w:szCs w:val="28"/>
    </w:rPr>
  </w:style>
  <w:style w:type="paragraph" w:styleId="style4">
    <w:name w:val="heading 4"/>
    <w:basedOn w:val="style0"/>
    <w:next w:val="style0"/>
    <w:qFormat/>
    <w:uiPriority w:val="9"/>
    <w:pPr>
      <w:keepNext/>
      <w:keepLines/>
      <w:spacing w:before="240" w:after="40"/>
      <w:outlineLvl w:val="3"/>
    </w:pPr>
    <w:rPr>
      <w:b/>
      <w:sz w:val="24"/>
      <w:szCs w:val="24"/>
    </w:rPr>
  </w:style>
  <w:style w:type="paragraph" w:styleId="style5">
    <w:name w:val="heading 5"/>
    <w:basedOn w:val="style0"/>
    <w:next w:val="style0"/>
    <w:qFormat/>
    <w:uiPriority w:val="9"/>
    <w:pPr>
      <w:keepNext/>
      <w:keepLines/>
      <w:spacing w:before="220" w:after="40"/>
      <w:outlineLvl w:val="4"/>
    </w:pPr>
    <w:rPr>
      <w:b/>
      <w:sz w:val="22"/>
      <w:szCs w:val="22"/>
    </w:rPr>
  </w:style>
  <w:style w:type="paragraph" w:styleId="style6">
    <w:name w:val="heading 6"/>
    <w:basedOn w:val="style0"/>
    <w:next w:val="style0"/>
    <w:qFormat/>
    <w:uiPriority w:val="9"/>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qFormat/>
    <w:uiPriority w:val="10"/>
    <w:pPr>
      <w:keepNext/>
      <w:keepLines/>
      <w:spacing w:before="480" w:after="120"/>
    </w:pPr>
    <w:rPr>
      <w:b/>
      <w:sz w:val="72"/>
      <w:szCs w:val="72"/>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fa3af249-e988-44d2-8cb4-e64c3216e601"/>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8151c349-bdf4-4208-b978-950d53e14608"/>
    <w:basedOn w:val="style65"/>
    <w:next w:val="style4098"/>
    <w:link w:val="style32"/>
    <w:uiPriority w:val="99"/>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 w:type="character" w:styleId="style85">
    <w:name w:val="Hyperlink"/>
    <w:next w:val="style85"/>
    <w:rPr>
      <w:color w:val="0000ff"/>
      <w:u w:val="single"/>
    </w:rPr>
  </w:style>
  <w:style w:type="paragraph" w:customStyle="1" w:styleId="style4100">
    <w:name w:val="3CBD5A742C28424DA5172AD252E32316"/>
    <w:next w:val="style4100"/>
    <w:pPr/>
    <w:rPr>
      <w:rFonts w:eastAsia="ＭＳ 明朝"/>
      <w:lang w:eastAsia="ja-JP"/>
    </w:rPr>
  </w:style>
  <w:style w:type="paragraph" w:styleId="style74">
    <w:name w:val="Subtitle"/>
    <w:basedOn w:val="style0"/>
    <w:next w:val="style0"/>
    <w:link w:val="style4101"/>
    <w:qFormat/>
    <w:pPr>
      <w:spacing w:lineRule="auto" w:line="240"/>
    </w:pPr>
    <w:rPr>
      <w:rFonts w:ascii="Cambria" w:cs="Cambria" w:eastAsia="Cambria" w:hAnsi="Cambria"/>
      <w:sz w:val="30"/>
      <w:szCs w:val="30"/>
    </w:rPr>
  </w:style>
  <w:style w:type="character" w:customStyle="1" w:styleId="style4101">
    <w:name w:val="Subtitle Char"/>
    <w:basedOn w:val="style65"/>
    <w:next w:val="style4101"/>
    <w:link w:val="style74"/>
    <w:rPr>
      <w:rFonts w:ascii="Cambria" w:cs="宋体" w:eastAsia="ＭＳ ゴシック" w:hAnsi="Cambria"/>
      <w:sz w:val="30"/>
      <w:szCs w:val="30"/>
    </w:rPr>
  </w:style>
  <w:style w:type="character" w:styleId="style40">
    <w:name w:val="line number"/>
    <w:basedOn w:val="style65"/>
    <w:next w:val="style40"/>
    <w:uiPriority w:val="99"/>
  </w:style>
  <w:style w:type="paragraph" w:styleId="style179">
    <w:name w:val="List Paragraph"/>
    <w:basedOn w:val="style0"/>
    <w:next w:val="style179"/>
    <w:link w:val="style4113"/>
    <w:qFormat/>
    <w:uiPriority w:val="34"/>
    <w:pPr>
      <w:spacing w:lineRule="auto" w:line="276"/>
      <w:ind w:left="720"/>
      <w:contextualSpacing/>
    </w:pPr>
    <w:rPr>
      <w:rFonts w:cs="Times New Roman" w:eastAsia="Times New Roman"/>
      <w:sz w:val="22"/>
      <w:szCs w:val="22"/>
      <w:lang w:val="en-GB" w:eastAsia="en-GB"/>
    </w:rPr>
  </w:style>
  <w:style w:type="paragraph" w:customStyle="1" w:styleId="style4102">
    <w:name w:val="Default"/>
    <w:next w:val="style4102"/>
    <w:pPr>
      <w:widowControl w:val="false"/>
      <w:autoSpaceDE w:val="false"/>
      <w:autoSpaceDN w:val="false"/>
      <w:adjustRightInd w:val="false"/>
      <w:spacing w:after="0" w:lineRule="auto" w:line="240"/>
    </w:pPr>
    <w:rPr>
      <w:rFonts w:ascii="Times New Roman" w:cs="Angsana New" w:eastAsia="Times New Roman" w:hAnsi="Times New Roman"/>
      <w:color w:val="000000"/>
      <w:sz w:val="24"/>
      <w:szCs w:val="24"/>
    </w:rPr>
  </w:style>
  <w:style w:type="table" w:customStyle="1" w:styleId="style4103">
    <w:basedOn w:val="style105"/>
    <w:next w:val="style4103"/>
    <w:pPr/>
    <w:rPr/>
    <w:tblPr>
      <w:tblStyleRowBandSize w:val="1"/>
      <w:tblStyleColBandSize w:val="1"/>
      <w:tblCellMar>
        <w:left w:w="115" w:type="dxa"/>
        <w:right w:w="115" w:type="dxa"/>
      </w:tblCellMar>
    </w:tblPr>
    <w:tcPr>
      <w:tcBorders/>
    </w:tcPr>
  </w:style>
  <w:style w:type="table" w:customStyle="1" w:styleId="style4104">
    <w:basedOn w:val="style105"/>
    <w:next w:val="style4104"/>
    <w:pPr/>
    <w:rPr/>
    <w:tblPr>
      <w:tblStyleRowBandSize w:val="1"/>
      <w:tblStyleColBandSize w:val="1"/>
      <w:tblCellMar>
        <w:left w:w="115" w:type="dxa"/>
        <w:right w:w="115" w:type="dxa"/>
      </w:tblCellMar>
    </w:tblPr>
    <w:tcPr>
      <w:tcBorders/>
    </w:tcPr>
  </w:style>
  <w:style w:type="character" w:customStyle="1" w:styleId="style4105">
    <w:name w:val="Unresolved Mention1"/>
    <w:basedOn w:val="style65"/>
    <w:next w:val="style4105"/>
    <w:uiPriority w:val="99"/>
    <w:rPr>
      <w:color w:val="605e5c"/>
      <w:shd w:val="clear" w:color="auto" w:fill="e1dfdd"/>
    </w:rPr>
  </w:style>
  <w:style w:type="table" w:styleId="style154">
    <w:name w:val="Table Grid"/>
    <w:basedOn w:val="style105"/>
    <w:next w:val="style154"/>
    <w:uiPriority w:val="59"/>
    <w:pPr>
      <w:spacing w:after="0" w:lineRule="auto" w:line="240"/>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6"/>
    <w:uiPriority w:val="99"/>
    <w:pPr>
      <w:spacing w:lineRule="auto" w:line="240"/>
    </w:pPr>
    <w:rPr>
      <w:sz w:val="20"/>
      <w:szCs w:val="20"/>
    </w:rPr>
  </w:style>
  <w:style w:type="character" w:customStyle="1" w:styleId="style4106">
    <w:name w:val="Comment Text Char"/>
    <w:basedOn w:val="style65"/>
    <w:next w:val="style4106"/>
    <w:link w:val="style30"/>
    <w:uiPriority w:val="99"/>
    <w:rPr>
      <w:rFonts w:eastAsia="ＭＳ 明朝"/>
      <w:sz w:val="20"/>
      <w:szCs w:val="20"/>
    </w:rPr>
  </w:style>
  <w:style w:type="paragraph" w:styleId="style106">
    <w:name w:val="annotation subject"/>
    <w:basedOn w:val="style30"/>
    <w:next w:val="style30"/>
    <w:link w:val="style4107"/>
    <w:uiPriority w:val="99"/>
    <w:pPr/>
    <w:rPr>
      <w:b/>
      <w:bCs/>
    </w:rPr>
  </w:style>
  <w:style w:type="character" w:customStyle="1" w:styleId="style4107">
    <w:name w:val="Comment Subject Char"/>
    <w:basedOn w:val="style4106"/>
    <w:next w:val="style4107"/>
    <w:link w:val="style106"/>
    <w:uiPriority w:val="99"/>
    <w:rPr>
      <w:rFonts w:eastAsia="ＭＳ 明朝"/>
      <w:b/>
      <w:bCs/>
      <w:sz w:val="20"/>
      <w:szCs w:val="20"/>
    </w:rPr>
  </w:style>
  <w:style w:type="character" w:customStyle="1" w:styleId="style4108">
    <w:name w:val="y2iqfc"/>
    <w:basedOn w:val="style65"/>
    <w:next w:val="style4108"/>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val="en-ID" w:eastAsia="en-ID"/>
    </w:rPr>
  </w:style>
  <w:style w:type="table" w:customStyle="1" w:styleId="style4109">
    <w:name w:val="Plain Table 21"/>
    <w:basedOn w:val="style105"/>
    <w:next w:val="style4109"/>
    <w:uiPriority w:val="42"/>
    <w:pPr>
      <w:spacing w:after="0" w:lineRule="auto" w:line="240"/>
    </w:pPr>
    <w:rPr>
      <w:lang w:eastAsia="en-ID"/>
    </w:rPr>
    <w:tblPr>
      <w:tblStyleRowBandSize w:val="1"/>
      <w:tblStyleColBandSize w:val="1"/>
      <w:tblBorders>
        <w:top w:val="single" w:sz="4" w:space="0" w:color="7f7f7f"/>
        <w:bottom w:val="single" w:sz="4" w:space="0" w:color="7f7f7f"/>
      </w:tblBorders>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character" w:customStyle="1" w:styleId="style4110">
    <w:name w:val="Heading 1 Char_e5c2474b-4fa0-4a8d-a0de-bb7f9c945b49"/>
    <w:basedOn w:val="style65"/>
    <w:next w:val="style4110"/>
    <w:link w:val="style1"/>
    <w:uiPriority w:val="9"/>
    <w:rPr>
      <w:rFonts w:eastAsia="ＭＳ 明朝"/>
      <w:b/>
      <w:sz w:val="48"/>
      <w:szCs w:val="48"/>
    </w:rPr>
  </w:style>
  <w:style w:type="paragraph" w:styleId="style66">
    <w:name w:val="Body Text"/>
    <w:basedOn w:val="style0"/>
    <w:next w:val="style66"/>
    <w:link w:val="style4111"/>
    <w:qFormat/>
    <w:uiPriority w:val="1"/>
    <w:pPr>
      <w:widowControl w:val="false"/>
      <w:autoSpaceDE w:val="false"/>
      <w:autoSpaceDN w:val="false"/>
      <w:spacing w:after="0" w:lineRule="auto" w:line="240"/>
      <w:ind w:left="220"/>
      <w:jc w:val="both"/>
    </w:pPr>
    <w:rPr>
      <w:rFonts w:ascii="Times New Roman" w:cs="Times New Roman" w:eastAsia="Times New Roman" w:hAnsi="Times New Roman"/>
      <w:sz w:val="24"/>
      <w:szCs w:val="24"/>
    </w:rPr>
  </w:style>
  <w:style w:type="character" w:customStyle="1" w:styleId="style4111">
    <w:name w:val="Body Text Char"/>
    <w:basedOn w:val="style65"/>
    <w:next w:val="style4111"/>
    <w:link w:val="style66"/>
    <w:uiPriority w:val="1"/>
    <w:rPr>
      <w:rFonts w:ascii="Times New Roman" w:cs="Times New Roman" w:eastAsia="Times New Roman" w:hAnsi="Times New Roman"/>
      <w:sz w:val="24"/>
      <w:szCs w:val="24"/>
    </w:rPr>
  </w:style>
  <w:style w:type="table" w:customStyle="1" w:styleId="style4112">
    <w:name w:val="Table Grid1"/>
    <w:basedOn w:val="style105"/>
    <w:next w:val="style154"/>
    <w:uiPriority w:val="39"/>
    <w:pPr>
      <w:spacing w:after="0" w:lineRule="auto" w:line="240"/>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113">
    <w:name w:val="List Paragraph Char"/>
    <w:basedOn w:val="style65"/>
    <w:next w:val="style4113"/>
    <w:link w:val="style179"/>
    <w:uiPriority w:val="34"/>
    <w:rPr>
      <w:rFonts w:cs="Times New Roman" w:eastAsia="Times New Roman"/>
      <w:sz w:val="22"/>
      <w:szCs w:val="22"/>
      <w:lang w:val="en-GB" w:eastAsia="en-GB"/>
    </w:rPr>
  </w:style>
</w:styles>
</file>

<file path=word/_rels/document.xml.rels><?xml version="1.0" encoding="UTF-8"?>
<Relationships xmlns="http://schemas.openxmlformats.org/package/2006/relationships"><Relationship Id="rId11" Type="http://schemas.openxmlformats.org/officeDocument/2006/relationships/customXml" Target="../customXml/item1.xml"/><Relationship Id="rId10" Type="http://schemas.openxmlformats.org/officeDocument/2006/relationships/theme" Target="theme/theme1.xml"/><Relationship Id="rId13" Type="http://schemas.openxmlformats.org/officeDocument/2006/relationships/customXml" Target="../customXml/item3.xml"/><Relationship Id="rId12" Type="http://schemas.openxmlformats.org/officeDocument/2006/relationships/customXml" Target="../customXml/item2.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image" Target="media/image1.png"/><Relationship Id="rId9" Type="http://schemas.openxmlformats.org/officeDocument/2006/relationships/settings" Target="settings.xml"/><Relationship Id="rId15" Type="http://schemas.openxmlformats.org/officeDocument/2006/relationships/customXml" Target="../customXml/item5.xml"/><Relationship Id="rId14" Type="http://schemas.openxmlformats.org/officeDocument/2006/relationships/customXml" Target="../customXml/item4.xml"/><Relationship Id="rId16" Type="http://schemas.openxmlformats.org/officeDocument/2006/relationships/customXml" Target="../customXml/item6.xml"/><Relationship Id="rId5" Type="http://schemas.openxmlformats.org/officeDocument/2006/relationships/header" Target="header1.xml"/><Relationship Id="rId6" Type="http://schemas.openxmlformats.org/officeDocument/2006/relationships/footer" Target="footer2.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3.xml><?xml version="1.0" encoding="utf-8"?>
<ds:datastoreItem xmlns:ds="http://schemas.openxmlformats.org/officeDocument/2006/customXml" ds:itemID="{e25b5189-4ac6-4495-88f6-eca25ad06fdb}">
  <ds:schemaRefs>
    <ds:schemaRef ds:uri="http://www.wps.cn/android/officeDocument/2013/mofficeCustomData"/>
  </ds:schemaRefs>
</ds:datastoreItem>
</file>

<file path=customXml/itemProps4.xml><?xml version="1.0" encoding="utf-8"?>
<ds:datastoreItem xmlns:ds="http://schemas.openxmlformats.org/officeDocument/2006/customXml" ds:itemID="{ee936f82-30ae-4736-b01f-3da3cc9dc082}">
  <ds:schemaRefs>
    <ds:schemaRef ds:uri="http://www.wps.cn/android/officeDocument/2013/mofficeCustomData"/>
  </ds:schemaRefs>
</ds:datastoreItem>
</file>

<file path=customXml/itemProps5.xml><?xml version="1.0" encoding="utf-8"?>
<ds:datastoreItem xmlns:ds="http://schemas.openxmlformats.org/officeDocument/2006/customXml" ds:itemID="{5f54eb86-c14e-476b-afa7-20888464fc67}">
  <ds:schemaRefs>
    <ds:schemaRef ds:uri="http://www.wps.cn/android/officeDocument/2013/mofficeCustomData"/>
  </ds:schemaRefs>
</ds:datastoreItem>
</file>

<file path=customXml/itemProps6.xml><?xml version="1.0" encoding="utf-8"?>
<ds:datastoreItem xmlns:ds="http://schemas.openxmlformats.org/officeDocument/2006/customXml" ds:itemID="{7ca7baa2-da65-46ce-913e-f6b6aeb1a2de}">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2180</Words>
  <Pages>6</Pages>
  <Characters>13853</Characters>
  <Application>WPS Office</Application>
  <DocSecurity>0</DocSecurity>
  <Paragraphs>242</Paragraphs>
  <ScaleCrop>false</ScaleCrop>
  <Company>HP</Company>
  <LinksUpToDate>false</LinksUpToDate>
  <CharactersWithSpaces>15898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2025-06-30T03:18:06Z</dcterms:created>
  <dc:creator>Coresponden Name and email</dc:creator>
  <lastModifiedBy>adita ratna</lastModifiedBy>
  <lastPrinted>2024-11-28T23:59:00Z</lastPrinted>
  <dcterms:modified xsi:type="dcterms:W3CDTF">2025-06-30T03:18:06Z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y fmtid="{D5CDD505-2E9C-101B-9397-08002B2CF9AE}" pid="25" name="ICV">
    <vt:lpwstr>d429785d29264761a0e2b8c2a3d559bd</vt:lpwstr>
  </property>
</Properties>
</file>